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F34C4" w14:textId="77777777" w:rsidR="002E1BB7" w:rsidRPr="00633E42" w:rsidRDefault="002E1BB7" w:rsidP="00FE285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633E42">
        <w:rPr>
          <w:rFonts w:ascii="Times New Roman" w:hAnsi="Times New Roman"/>
          <w:b/>
          <w:bCs/>
        </w:rPr>
        <w:t>CHARAKTERYSTYKA PRODUKTU LECZNICZEGO</w:t>
      </w:r>
    </w:p>
    <w:p w14:paraId="07283553" w14:textId="77777777" w:rsidR="002E1BB7" w:rsidRPr="00633E42" w:rsidRDefault="002E1BB7" w:rsidP="00FE285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C9256D8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051A5DF6" w14:textId="77777777" w:rsidR="002E1BB7" w:rsidRPr="00633E42" w:rsidRDefault="002E1BB7" w:rsidP="00FE28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NAZWA PRODUKTU LECZNICZEGO</w:t>
      </w:r>
    </w:p>
    <w:p w14:paraId="5F935066" w14:textId="77777777" w:rsidR="002E1BB7" w:rsidRPr="00633E42" w:rsidRDefault="002E1BB7" w:rsidP="00FE2851">
      <w:pPr>
        <w:pStyle w:val="Akapitzlist"/>
        <w:spacing w:after="0" w:line="240" w:lineRule="auto"/>
        <w:ind w:left="1068"/>
        <w:rPr>
          <w:rFonts w:ascii="Times New Roman" w:hAnsi="Times New Roman"/>
        </w:rPr>
      </w:pPr>
    </w:p>
    <w:p w14:paraId="31805570" w14:textId="3C47475E" w:rsidR="002E1BB7" w:rsidRPr="00633E42" w:rsidRDefault="003331BC" w:rsidP="00FE28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Diclovit</w:t>
      </w:r>
      <w:r w:rsidR="002E1BB7" w:rsidRPr="00633E42">
        <w:rPr>
          <w:rFonts w:ascii="Times New Roman" w:hAnsi="Times New Roman"/>
        </w:rPr>
        <w:t xml:space="preserve">, </w:t>
      </w:r>
      <w:r w:rsidR="002E1BB7">
        <w:rPr>
          <w:rFonts w:ascii="Times New Roman" w:hAnsi="Times New Roman"/>
        </w:rPr>
        <w:t xml:space="preserve">50 mg+50 </w:t>
      </w:r>
      <w:proofErr w:type="spellStart"/>
      <w:r w:rsidR="002E1BB7">
        <w:rPr>
          <w:rFonts w:ascii="Times New Roman" w:hAnsi="Times New Roman"/>
        </w:rPr>
        <w:t>mg+50</w:t>
      </w:r>
      <w:proofErr w:type="spellEnd"/>
      <w:r w:rsidR="002E1BB7">
        <w:rPr>
          <w:rFonts w:ascii="Times New Roman" w:hAnsi="Times New Roman"/>
        </w:rPr>
        <w:t xml:space="preserve"> mg+0,25 mg, </w:t>
      </w:r>
      <w:r w:rsidR="002E1BB7" w:rsidRPr="00633E42">
        <w:rPr>
          <w:rFonts w:ascii="Times New Roman" w:hAnsi="Times New Roman"/>
        </w:rPr>
        <w:t>kapsułki</w:t>
      </w:r>
      <w:r w:rsidR="002E1BB7">
        <w:rPr>
          <w:rFonts w:ascii="Times New Roman" w:hAnsi="Times New Roman"/>
        </w:rPr>
        <w:t xml:space="preserve"> twarde </w:t>
      </w:r>
    </w:p>
    <w:p w14:paraId="235A713F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5FB74345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149C8F8D" w14:textId="77777777" w:rsidR="002E1BB7" w:rsidRPr="00633E42" w:rsidRDefault="002E1BB7" w:rsidP="00FE28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SKŁAD JAKOŚCIOWY I ILOŚCIOWY</w:t>
      </w:r>
    </w:p>
    <w:p w14:paraId="553BD3C3" w14:textId="77777777" w:rsidR="002E1BB7" w:rsidRPr="00633E42" w:rsidRDefault="002E1BB7" w:rsidP="00FE2851">
      <w:pPr>
        <w:pStyle w:val="Akapitzlist"/>
        <w:spacing w:after="0" w:line="240" w:lineRule="auto"/>
        <w:ind w:left="1068"/>
        <w:rPr>
          <w:rFonts w:ascii="Times New Roman" w:hAnsi="Times New Roman"/>
        </w:rPr>
      </w:pPr>
    </w:p>
    <w:p w14:paraId="7337BAE0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1 kapsułka</w:t>
      </w:r>
      <w:r>
        <w:rPr>
          <w:rFonts w:ascii="Times New Roman" w:hAnsi="Times New Roman"/>
        </w:rPr>
        <w:t xml:space="preserve"> twarda</w:t>
      </w:r>
      <w:r w:rsidRPr="00633E42">
        <w:rPr>
          <w:rFonts w:ascii="Times New Roman" w:hAnsi="Times New Roman"/>
        </w:rPr>
        <w:t xml:space="preserve"> zawiera</w:t>
      </w:r>
      <w:r>
        <w:rPr>
          <w:rFonts w:ascii="Times New Roman" w:hAnsi="Times New Roman"/>
        </w:rPr>
        <w:t>:</w:t>
      </w:r>
      <w:r w:rsidRPr="00633E42">
        <w:rPr>
          <w:rFonts w:ascii="Times New Roman" w:hAnsi="Times New Roman"/>
        </w:rPr>
        <w:t xml:space="preserve"> </w:t>
      </w:r>
    </w:p>
    <w:p w14:paraId="3C0917D0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Diklofenak sodowy</w:t>
      </w:r>
      <w:r>
        <w:rPr>
          <w:rFonts w:ascii="Times New Roman" w:hAnsi="Times New Roman"/>
        </w:rPr>
        <w:t xml:space="preserve"> </w:t>
      </w:r>
      <w:r w:rsidRPr="00982444">
        <w:rPr>
          <w:rFonts w:ascii="Times New Roman" w:hAnsi="Times New Roman"/>
          <w:i/>
        </w:rPr>
        <w:t>(</w:t>
      </w:r>
      <w:r w:rsidRPr="00982444">
        <w:rPr>
          <w:rFonts w:ascii="Times New Roman" w:hAnsi="Times New Roman"/>
          <w:i/>
          <w:lang w:val="la-Latn"/>
        </w:rPr>
        <w:t>Diclofenacum natricum</w:t>
      </w:r>
      <w:r w:rsidRPr="00982444">
        <w:rPr>
          <w:rFonts w:ascii="Times New Roman" w:hAnsi="Times New Roman"/>
          <w:i/>
        </w:rPr>
        <w:t>)</w:t>
      </w:r>
      <w:r w:rsidRPr="00633E42">
        <w:rPr>
          <w:rFonts w:ascii="Times New Roman" w:hAnsi="Times New Roman"/>
        </w:rPr>
        <w:tab/>
      </w:r>
      <w:r w:rsidRPr="00633E42">
        <w:rPr>
          <w:rFonts w:ascii="Times New Roman" w:hAnsi="Times New Roman"/>
        </w:rPr>
        <w:tab/>
      </w:r>
      <w:r w:rsidRPr="00633E42">
        <w:rPr>
          <w:rFonts w:ascii="Times New Roman" w:hAnsi="Times New Roman"/>
        </w:rPr>
        <w:tab/>
      </w:r>
      <w:r w:rsidRPr="00633E42">
        <w:rPr>
          <w:rFonts w:ascii="Times New Roman" w:hAnsi="Times New Roman"/>
        </w:rPr>
        <w:tab/>
      </w:r>
      <w:r w:rsidRPr="00633E42">
        <w:rPr>
          <w:rFonts w:ascii="Times New Roman" w:hAnsi="Times New Roman"/>
        </w:rPr>
        <w:tab/>
        <w:t>50,00 mg</w:t>
      </w:r>
    </w:p>
    <w:p w14:paraId="43E36AE4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Tiaminy chlorowodorek (witamina B</w:t>
      </w:r>
      <w:r w:rsidRPr="00633E42">
        <w:rPr>
          <w:rFonts w:ascii="Times New Roman" w:hAnsi="Times New Roman"/>
          <w:vertAlign w:val="subscript"/>
        </w:rPr>
        <w:t>1</w:t>
      </w:r>
      <w:r w:rsidRPr="00633E4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982444">
        <w:rPr>
          <w:rFonts w:ascii="Times New Roman" w:hAnsi="Times New Roman"/>
          <w:i/>
        </w:rPr>
        <w:t>(</w:t>
      </w:r>
      <w:r w:rsidRPr="00982444">
        <w:rPr>
          <w:rFonts w:ascii="Times New Roman" w:hAnsi="Times New Roman"/>
          <w:i/>
          <w:lang w:val="la-Latn"/>
        </w:rPr>
        <w:t>Thiamini</w:t>
      </w:r>
      <w:r w:rsidRPr="00982444">
        <w:rPr>
          <w:rFonts w:ascii="Times New Roman" w:hAnsi="Times New Roman"/>
          <w:i/>
        </w:rPr>
        <w:t xml:space="preserve"> hydrochloridum)</w:t>
      </w:r>
      <w:r w:rsidRPr="00633E42">
        <w:rPr>
          <w:rFonts w:ascii="Times New Roman" w:hAnsi="Times New Roman"/>
        </w:rPr>
        <w:tab/>
      </w:r>
      <w:r w:rsidRPr="00633E42">
        <w:rPr>
          <w:rFonts w:ascii="Times New Roman" w:hAnsi="Times New Roman"/>
        </w:rPr>
        <w:tab/>
        <w:t>50,00 mg</w:t>
      </w:r>
    </w:p>
    <w:p w14:paraId="06888EFD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Pirydoksyny chlorowodorek (witamina B</w:t>
      </w:r>
      <w:r w:rsidRPr="00633E42">
        <w:rPr>
          <w:rFonts w:ascii="Times New Roman" w:hAnsi="Times New Roman"/>
          <w:vertAlign w:val="subscript"/>
        </w:rPr>
        <w:t>6</w:t>
      </w:r>
      <w:r w:rsidRPr="00633E4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982444">
        <w:rPr>
          <w:rFonts w:ascii="Times New Roman" w:hAnsi="Times New Roman"/>
          <w:i/>
        </w:rPr>
        <w:t>(</w:t>
      </w:r>
      <w:r w:rsidRPr="00982444">
        <w:rPr>
          <w:rFonts w:ascii="Times New Roman" w:hAnsi="Times New Roman"/>
          <w:i/>
          <w:lang w:val="la-Latn"/>
        </w:rPr>
        <w:t>Pyridoxini</w:t>
      </w:r>
      <w:r w:rsidRPr="00982444">
        <w:rPr>
          <w:rFonts w:ascii="Times New Roman" w:hAnsi="Times New Roman"/>
          <w:i/>
        </w:rPr>
        <w:t xml:space="preserve"> hydrochloridum)</w:t>
      </w:r>
      <w:r w:rsidRPr="00633E42">
        <w:rPr>
          <w:rFonts w:ascii="Times New Roman" w:hAnsi="Times New Roman"/>
        </w:rPr>
        <w:tab/>
        <w:t>50,00 mg</w:t>
      </w:r>
    </w:p>
    <w:p w14:paraId="3FE23170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Cyjanokobalamina (witamina B</w:t>
      </w:r>
      <w:r w:rsidRPr="00633E42">
        <w:rPr>
          <w:rFonts w:ascii="Times New Roman" w:hAnsi="Times New Roman"/>
          <w:vertAlign w:val="subscript"/>
        </w:rPr>
        <w:t>12</w:t>
      </w:r>
      <w:r w:rsidRPr="00633E4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982444">
        <w:rPr>
          <w:rFonts w:ascii="Times New Roman" w:hAnsi="Times New Roman"/>
          <w:i/>
        </w:rPr>
        <w:t>(</w:t>
      </w:r>
      <w:r w:rsidRPr="00982444">
        <w:rPr>
          <w:rFonts w:ascii="Times New Roman" w:hAnsi="Times New Roman"/>
          <w:i/>
          <w:lang w:val="la-Latn"/>
        </w:rPr>
        <w:t>Cyanocobalaminum</w:t>
      </w:r>
      <w:r w:rsidRPr="00982444">
        <w:rPr>
          <w:rFonts w:ascii="Times New Roman" w:hAnsi="Times New Roman"/>
          <w:i/>
        </w:rPr>
        <w:t>)</w:t>
      </w:r>
      <w:r w:rsidRPr="00633E42">
        <w:rPr>
          <w:rFonts w:ascii="Times New Roman" w:hAnsi="Times New Roman"/>
        </w:rPr>
        <w:tab/>
      </w:r>
      <w:r w:rsidRPr="00633E42">
        <w:rPr>
          <w:rFonts w:ascii="Times New Roman" w:hAnsi="Times New Roman"/>
        </w:rPr>
        <w:tab/>
      </w:r>
      <w:r w:rsidRPr="00633E42">
        <w:rPr>
          <w:rFonts w:ascii="Times New Roman" w:hAnsi="Times New Roman"/>
        </w:rPr>
        <w:tab/>
        <w:t xml:space="preserve">  0,25 mg</w:t>
      </w:r>
    </w:p>
    <w:p w14:paraId="638F71FF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50CF180A" w14:textId="77777777" w:rsidR="00A95360" w:rsidRDefault="00A95360" w:rsidP="00FE2851">
      <w:pPr>
        <w:spacing w:after="0" w:line="240" w:lineRule="auto"/>
        <w:rPr>
          <w:rFonts w:ascii="Times New Roman" w:hAnsi="Times New Roman"/>
        </w:rPr>
      </w:pPr>
    </w:p>
    <w:p w14:paraId="11153B73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Pełny wykaz substancji pomocniczych</w:t>
      </w:r>
      <w:r>
        <w:rPr>
          <w:rFonts w:ascii="Times New Roman" w:hAnsi="Times New Roman"/>
        </w:rPr>
        <w:t>,</w:t>
      </w:r>
      <w:r w:rsidRPr="00633E42">
        <w:rPr>
          <w:rFonts w:ascii="Times New Roman" w:hAnsi="Times New Roman"/>
        </w:rPr>
        <w:t xml:space="preserve"> patrz punkt 6.1</w:t>
      </w:r>
      <w:r>
        <w:rPr>
          <w:rFonts w:ascii="Times New Roman" w:hAnsi="Times New Roman"/>
        </w:rPr>
        <w:t>.</w:t>
      </w:r>
    </w:p>
    <w:p w14:paraId="76966F42" w14:textId="77777777" w:rsidR="002E1BB7" w:rsidRDefault="002E1BB7" w:rsidP="00FE2851">
      <w:pPr>
        <w:spacing w:after="0" w:line="240" w:lineRule="auto"/>
        <w:ind w:left="360"/>
        <w:rPr>
          <w:rFonts w:ascii="Times New Roman" w:hAnsi="Times New Roman"/>
        </w:rPr>
      </w:pPr>
    </w:p>
    <w:p w14:paraId="043737EF" w14:textId="77777777" w:rsidR="002E1BB7" w:rsidRPr="00633E42" w:rsidRDefault="002E1BB7" w:rsidP="00FE2851">
      <w:pPr>
        <w:spacing w:after="0" w:line="240" w:lineRule="auto"/>
        <w:ind w:left="360"/>
        <w:rPr>
          <w:rFonts w:ascii="Times New Roman" w:hAnsi="Times New Roman"/>
        </w:rPr>
      </w:pPr>
    </w:p>
    <w:p w14:paraId="5569702A" w14:textId="77777777" w:rsidR="002E1BB7" w:rsidRPr="00633E42" w:rsidRDefault="002E1BB7" w:rsidP="00FE28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POSTAĆ FARMACEUTYCZNA</w:t>
      </w:r>
    </w:p>
    <w:p w14:paraId="4900D8C5" w14:textId="77777777" w:rsidR="002E1BB7" w:rsidRPr="00633E42" w:rsidRDefault="002E1BB7" w:rsidP="00FE2851">
      <w:pPr>
        <w:spacing w:after="0" w:line="240" w:lineRule="auto"/>
        <w:ind w:left="360"/>
        <w:rPr>
          <w:rFonts w:ascii="Times New Roman" w:hAnsi="Times New Roman"/>
        </w:rPr>
      </w:pPr>
    </w:p>
    <w:p w14:paraId="4088CB6B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Kapsułka</w:t>
      </w:r>
      <w:r>
        <w:rPr>
          <w:rFonts w:ascii="Times New Roman" w:hAnsi="Times New Roman"/>
        </w:rPr>
        <w:t>, twarda</w:t>
      </w:r>
    </w:p>
    <w:p w14:paraId="5AF09725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5C289030" w14:textId="0D6A4B08" w:rsidR="002E1BB7" w:rsidRDefault="002E1BB7" w:rsidP="00F96C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Kapsułka twarda</w:t>
      </w:r>
      <w:r w:rsidRPr="006E2EE8">
        <w:rPr>
          <w:rFonts w:ascii="Times New Roman" w:hAnsi="Times New Roman"/>
        </w:rPr>
        <w:t xml:space="preserve"> z </w:t>
      </w:r>
      <w:r w:rsidR="00F96C2A">
        <w:rPr>
          <w:rFonts w:ascii="Times New Roman" w:hAnsi="Times New Roman"/>
        </w:rPr>
        <w:t xml:space="preserve">korpusem, </w:t>
      </w:r>
      <w:r>
        <w:rPr>
          <w:rFonts w:ascii="Times New Roman" w:hAnsi="Times New Roman"/>
        </w:rPr>
        <w:t>barwy kości słoniowej</w:t>
      </w:r>
      <w:r w:rsidRPr="006E2EE8">
        <w:rPr>
          <w:rFonts w:ascii="Times New Roman" w:hAnsi="Times New Roman"/>
        </w:rPr>
        <w:t xml:space="preserve"> i</w:t>
      </w:r>
      <w:r w:rsidR="00F96C2A" w:rsidRPr="00F96C2A">
        <w:t xml:space="preserve"> </w:t>
      </w:r>
      <w:r w:rsidR="00F96C2A" w:rsidRPr="00F96C2A">
        <w:rPr>
          <w:rFonts w:ascii="Times New Roman" w:hAnsi="Times New Roman"/>
        </w:rPr>
        <w:t>wieczk</w:t>
      </w:r>
      <w:r w:rsidR="00F96C2A">
        <w:rPr>
          <w:rFonts w:ascii="Times New Roman" w:hAnsi="Times New Roman"/>
        </w:rPr>
        <w:t>iem</w:t>
      </w:r>
      <w:r w:rsidR="00F96C2A" w:rsidRPr="00F96C2A">
        <w:rPr>
          <w:rFonts w:ascii="Times New Roman" w:hAnsi="Times New Roman"/>
        </w:rPr>
        <w:t>, barwy pomarańczowej</w:t>
      </w:r>
      <w:r w:rsidR="00F96C2A" w:rsidRPr="00F96C2A" w:rsidDel="00F96C2A">
        <w:rPr>
          <w:rFonts w:ascii="Times New Roman" w:hAnsi="Times New Roman"/>
        </w:rPr>
        <w:t xml:space="preserve"> </w:t>
      </w:r>
    </w:p>
    <w:p w14:paraId="1B306791" w14:textId="77777777" w:rsidR="002E1BB7" w:rsidRDefault="002E1BB7" w:rsidP="00FE2851">
      <w:pPr>
        <w:spacing w:after="0" w:line="240" w:lineRule="auto"/>
        <w:ind w:left="360"/>
        <w:rPr>
          <w:rFonts w:ascii="Times New Roman" w:hAnsi="Times New Roman"/>
        </w:rPr>
      </w:pPr>
    </w:p>
    <w:p w14:paraId="42CCF0F3" w14:textId="77777777" w:rsidR="00F96C2A" w:rsidRPr="00633E42" w:rsidRDefault="00F96C2A" w:rsidP="00FE2851">
      <w:pPr>
        <w:spacing w:after="0" w:line="240" w:lineRule="auto"/>
        <w:ind w:left="360"/>
        <w:rPr>
          <w:rFonts w:ascii="Times New Roman" w:hAnsi="Times New Roman"/>
        </w:rPr>
      </w:pPr>
    </w:p>
    <w:p w14:paraId="2B01EF42" w14:textId="77777777" w:rsidR="002E1BB7" w:rsidRPr="00633E42" w:rsidRDefault="002E1BB7" w:rsidP="00FE28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SZCZ</w:t>
      </w:r>
      <w:r>
        <w:rPr>
          <w:rFonts w:ascii="Times New Roman" w:hAnsi="Times New Roman"/>
          <w:b/>
        </w:rPr>
        <w:t>E</w:t>
      </w:r>
      <w:r w:rsidRPr="00633E42">
        <w:rPr>
          <w:rFonts w:ascii="Times New Roman" w:hAnsi="Times New Roman"/>
          <w:b/>
        </w:rPr>
        <w:t>GÓŁOWE DANE KLINICZNE</w:t>
      </w:r>
    </w:p>
    <w:p w14:paraId="044478B1" w14:textId="77777777" w:rsidR="002E1BB7" w:rsidRPr="00633E42" w:rsidRDefault="002E1BB7" w:rsidP="00FE2851">
      <w:pPr>
        <w:spacing w:after="0" w:line="240" w:lineRule="auto"/>
        <w:ind w:left="360"/>
        <w:rPr>
          <w:rFonts w:ascii="Times New Roman" w:hAnsi="Times New Roman"/>
        </w:rPr>
      </w:pPr>
    </w:p>
    <w:p w14:paraId="51D6DD3D" w14:textId="77777777" w:rsidR="002E1BB7" w:rsidRPr="00633E42" w:rsidRDefault="002E1BB7" w:rsidP="00FE285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Wskazania do stosowania</w:t>
      </w:r>
    </w:p>
    <w:p w14:paraId="3AF25D2E" w14:textId="77777777" w:rsidR="002E1BB7" w:rsidRPr="00633E42" w:rsidRDefault="002E1BB7" w:rsidP="00FE2851">
      <w:pPr>
        <w:pStyle w:val="Akapitzlist"/>
        <w:spacing w:after="0" w:line="240" w:lineRule="auto"/>
        <w:ind w:left="1068"/>
        <w:rPr>
          <w:rFonts w:ascii="Times New Roman" w:hAnsi="Times New Roman"/>
        </w:rPr>
      </w:pPr>
    </w:p>
    <w:p w14:paraId="7EED7663" w14:textId="1589BEF6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Produkt leczniczy </w:t>
      </w:r>
      <w:r w:rsidR="003331BC">
        <w:rPr>
          <w:rFonts w:ascii="Times New Roman" w:hAnsi="Times New Roman"/>
        </w:rPr>
        <w:t>Diclovit</w:t>
      </w:r>
      <w:r w:rsidRPr="00633E42">
        <w:rPr>
          <w:rFonts w:ascii="Times New Roman" w:hAnsi="Times New Roman"/>
        </w:rPr>
        <w:t xml:space="preserve"> wskazany jest u dorosłych </w:t>
      </w:r>
      <w:r>
        <w:rPr>
          <w:rFonts w:ascii="Times New Roman" w:hAnsi="Times New Roman"/>
        </w:rPr>
        <w:t xml:space="preserve">i </w:t>
      </w:r>
      <w:r w:rsidRPr="00EE7E62">
        <w:rPr>
          <w:rFonts w:ascii="Times New Roman" w:hAnsi="Times New Roman"/>
        </w:rPr>
        <w:t xml:space="preserve">młodzieży </w:t>
      </w:r>
      <w:r>
        <w:rPr>
          <w:rFonts w:ascii="Times New Roman" w:hAnsi="Times New Roman"/>
        </w:rPr>
        <w:t xml:space="preserve">w wieku </w:t>
      </w:r>
      <w:r w:rsidRPr="00633E42">
        <w:rPr>
          <w:rFonts w:ascii="Times New Roman" w:hAnsi="Times New Roman"/>
        </w:rPr>
        <w:t>od 18 lat w leczeniu</w:t>
      </w:r>
      <w:r>
        <w:rPr>
          <w:rFonts w:ascii="Times New Roman" w:hAnsi="Times New Roman"/>
        </w:rPr>
        <w:t>:</w:t>
      </w:r>
    </w:p>
    <w:p w14:paraId="76E3BB82" w14:textId="77777777" w:rsidR="002E1BB7" w:rsidRDefault="002E1BB7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bólu w niereumatoidalnych stanach zapalnych</w:t>
      </w:r>
    </w:p>
    <w:p w14:paraId="199D5AB2" w14:textId="77777777" w:rsidR="002E1BB7" w:rsidRDefault="002E1BB7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stanów zapalnych w chorobie zwyrodnieniowej stawów</w:t>
      </w:r>
    </w:p>
    <w:p w14:paraId="44AD2ADE" w14:textId="77777777" w:rsidR="002E1BB7" w:rsidRDefault="002E1BB7" w:rsidP="0098244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przewlekłe zapalenie wielostawowe</w:t>
      </w:r>
    </w:p>
    <w:p w14:paraId="42525613" w14:textId="77777777" w:rsidR="002E1BB7" w:rsidRDefault="002E1BB7" w:rsidP="0098244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zesztywniające zapalenie stawów kręgosłupa (choroba Bechterewa)</w:t>
      </w:r>
    </w:p>
    <w:p w14:paraId="6BBCDF0E" w14:textId="77777777" w:rsidR="002E1BB7" w:rsidRDefault="002E1BB7" w:rsidP="0098244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choroba zwyrodnieniowa stawów</w:t>
      </w:r>
    </w:p>
    <w:p w14:paraId="47C61937" w14:textId="77777777" w:rsidR="002E1BB7" w:rsidRDefault="002E1BB7" w:rsidP="0098244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choroba zwyrodnieniowa kręgosłupa</w:t>
      </w:r>
    </w:p>
    <w:p w14:paraId="15C23A03" w14:textId="77777777" w:rsidR="002E1BB7" w:rsidRDefault="002E1BB7" w:rsidP="0098244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zapalenie nerwów i nerwobóle jak zespół szyjny, lumbago, rwa kulszowa</w:t>
      </w:r>
    </w:p>
    <w:p w14:paraId="57382F33" w14:textId="77777777" w:rsidR="002E1BB7" w:rsidRPr="00633E42" w:rsidRDefault="002E1BB7" w:rsidP="00FE2851">
      <w:pPr>
        <w:spacing w:after="0" w:line="240" w:lineRule="auto"/>
        <w:ind w:left="360"/>
        <w:rPr>
          <w:rFonts w:ascii="Times New Roman" w:hAnsi="Times New Roman"/>
        </w:rPr>
      </w:pPr>
    </w:p>
    <w:p w14:paraId="21779484" w14:textId="77777777" w:rsidR="002E1BB7" w:rsidRPr="00633E42" w:rsidRDefault="002E1BB7" w:rsidP="00FE285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Dawkowanie i sposób podawania</w:t>
      </w:r>
    </w:p>
    <w:p w14:paraId="03894F65" w14:textId="77777777" w:rsidR="002E1BB7" w:rsidRPr="00633E42" w:rsidRDefault="002E1BB7" w:rsidP="00FE2851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45B77516" w14:textId="77777777" w:rsidR="002E1BB7" w:rsidRPr="005F7EBA" w:rsidRDefault="002E1BB7" w:rsidP="00FE2851">
      <w:pPr>
        <w:spacing w:after="0" w:line="240" w:lineRule="auto"/>
        <w:rPr>
          <w:rFonts w:ascii="Times New Roman" w:hAnsi="Times New Roman"/>
        </w:rPr>
      </w:pPr>
      <w:r w:rsidRPr="00982444">
        <w:rPr>
          <w:rFonts w:ascii="Times New Roman" w:hAnsi="Times New Roman"/>
        </w:rPr>
        <w:t>Występowanie działań niepożądanych można ograniczyć stosując produkt w najmniejszej skutecznej dawce i nie dłużej niż to konieczne do kontrolowania objawów (patrz punkt 4.4).</w:t>
      </w:r>
    </w:p>
    <w:p w14:paraId="2A13AAF4" w14:textId="77777777" w:rsidR="002E1BB7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4F9223F0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Dawkowanie należy ustalać indywidulanie w zależności od obrazu klinicznego. Całkowita dawka dobowa podzielona jest zazwyczaj na dwie lub trzy dawki. </w:t>
      </w:r>
    </w:p>
    <w:p w14:paraId="34798B1A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  <w:b/>
        </w:rPr>
      </w:pPr>
    </w:p>
    <w:p w14:paraId="35DA20EA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b/>
          <w:u w:val="single"/>
        </w:rPr>
      </w:pPr>
      <w:r w:rsidRPr="009010CE">
        <w:rPr>
          <w:rFonts w:ascii="Times New Roman" w:hAnsi="Times New Roman"/>
          <w:b/>
          <w:u w:val="single"/>
        </w:rPr>
        <w:t>Dawkowanie</w:t>
      </w:r>
    </w:p>
    <w:p w14:paraId="0C2D7AE4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W zależności od nasilenia choroby zalecana dawka wynosi od 1 do 3 kapsułek na dobę, co odpowiada od 50 do 150 mg diklofenaku sodowego. </w:t>
      </w:r>
    </w:p>
    <w:p w14:paraId="47D0340D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1969AB8B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Dorośli i młodzież od 18 lat</w:t>
      </w:r>
    </w:p>
    <w:p w14:paraId="05E6BEA7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Zalecana dawka początkowa wynosi od 100 to 150 mg diklofenaku sodowego (1 kapsułka dwa do trzech razy na dobę).</w:t>
      </w:r>
    </w:p>
    <w:p w14:paraId="002CC744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lastRenderedPageBreak/>
        <w:t>Wystarczająca dawka podtrzymująca wynosi zazwyczaj 1 kapsułkę raz lub dwa razy na dobę</w:t>
      </w:r>
      <w:r>
        <w:rPr>
          <w:rFonts w:ascii="Times New Roman" w:hAnsi="Times New Roman"/>
        </w:rPr>
        <w:t>.</w:t>
      </w:r>
    </w:p>
    <w:p w14:paraId="50E530D4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Nie należy przekraczać maksymalnej dawki dobowej wynoszącej 3 kapsułki.</w:t>
      </w:r>
    </w:p>
    <w:p w14:paraId="038F068B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20FAB5F9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Pacjenci z niewydolnością nerek</w:t>
      </w:r>
    </w:p>
    <w:p w14:paraId="4D23E321" w14:textId="1DB0CEB0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Nie przeprowadzono specjalnych badań na temat</w:t>
      </w:r>
      <w:r w:rsidRPr="00633E42">
        <w:t xml:space="preserve"> </w:t>
      </w:r>
      <w:r w:rsidRPr="00633E42">
        <w:rPr>
          <w:rFonts w:ascii="Times New Roman" w:hAnsi="Times New Roman"/>
        </w:rPr>
        <w:t xml:space="preserve">szczególnych zaleceń dotyczących dawkowania. Diklofenak jest przeciwwskazany u pacjentów z ciężką niewydolnością nerek </w:t>
      </w:r>
    </w:p>
    <w:p w14:paraId="74CD4260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01785178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b/>
        </w:rPr>
      </w:pPr>
      <w:r w:rsidRPr="009010CE">
        <w:rPr>
          <w:rFonts w:ascii="Times New Roman" w:hAnsi="Times New Roman"/>
          <w:b/>
        </w:rPr>
        <w:t>Pacjenci z niewydolnością wątroby</w:t>
      </w:r>
    </w:p>
    <w:p w14:paraId="7FDA0DFB" w14:textId="22F5F554" w:rsidR="002E1BB7" w:rsidRPr="009010CE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Nie przeprowadzono specjalnych badań na temat szczególnych zaleceń dotyczących dawkowania. Diklofenak jest przeciwwskazany u pacjentów z ciężką niewydolnością wątroby</w:t>
      </w:r>
    </w:p>
    <w:p w14:paraId="6B574886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  <w:b/>
        </w:rPr>
      </w:pPr>
    </w:p>
    <w:p w14:paraId="0E86291B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Osoby w podeszłym wieku (65 lat i starsze)</w:t>
      </w:r>
    </w:p>
    <w:p w14:paraId="4BE39DFD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U pacjentów starszych należy zachować szczególną ostrożność z uwagi na możliwość występowania jednocześnie innych chorób lub niedowagę. Zaleca się stosowanie najmniejszej skutecznej dawki u pacjentów w podeszłym wieku i osób z niedowagą (patrz punkt 4.4). </w:t>
      </w:r>
    </w:p>
    <w:p w14:paraId="7630E10D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  <w:b/>
        </w:rPr>
      </w:pPr>
    </w:p>
    <w:p w14:paraId="4C36B060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Dzieci i młodzież</w:t>
      </w:r>
    </w:p>
    <w:p w14:paraId="69192811" w14:textId="365C12B9" w:rsidR="002E1BB7" w:rsidRPr="009010CE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Produkt</w:t>
      </w:r>
      <w:r>
        <w:rPr>
          <w:rFonts w:ascii="Times New Roman" w:hAnsi="Times New Roman"/>
        </w:rPr>
        <w:t>u</w:t>
      </w:r>
      <w:r w:rsidRPr="00633E42">
        <w:rPr>
          <w:rFonts w:ascii="Times New Roman" w:hAnsi="Times New Roman"/>
        </w:rPr>
        <w:t xml:space="preserve"> lecznicz</w:t>
      </w:r>
      <w:r>
        <w:rPr>
          <w:rFonts w:ascii="Times New Roman" w:hAnsi="Times New Roman"/>
        </w:rPr>
        <w:t>ego</w:t>
      </w:r>
      <w:r w:rsidRPr="00633E42">
        <w:rPr>
          <w:rFonts w:ascii="Times New Roman" w:hAnsi="Times New Roman"/>
        </w:rPr>
        <w:t xml:space="preserve"> </w:t>
      </w:r>
      <w:r w:rsidR="003331BC">
        <w:rPr>
          <w:rFonts w:ascii="Times New Roman" w:hAnsi="Times New Roman"/>
        </w:rPr>
        <w:t>Diclovit</w:t>
      </w:r>
      <w:r w:rsidRPr="00633E42">
        <w:rPr>
          <w:rFonts w:ascii="Times New Roman" w:hAnsi="Times New Roman"/>
        </w:rPr>
        <w:t xml:space="preserve"> nie stosowa</w:t>
      </w:r>
      <w:r>
        <w:rPr>
          <w:rFonts w:ascii="Times New Roman" w:hAnsi="Times New Roman"/>
        </w:rPr>
        <w:t>ć</w:t>
      </w:r>
      <w:r w:rsidRPr="00633E42">
        <w:rPr>
          <w:rFonts w:ascii="Times New Roman" w:hAnsi="Times New Roman"/>
        </w:rPr>
        <w:t xml:space="preserve"> u dzieci i młodzieży poniżej 18 lat (patrz punkt 4.3). </w:t>
      </w:r>
    </w:p>
    <w:p w14:paraId="0523022D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2B171E57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Sposób podawania</w:t>
      </w:r>
    </w:p>
    <w:p w14:paraId="30F3A69B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Podanie doustne. </w:t>
      </w:r>
    </w:p>
    <w:p w14:paraId="0E4B483A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Kapsułki należy połykać w całości z wystarczającą ilością wody, najlepiej przed posiłkiem. </w:t>
      </w:r>
    </w:p>
    <w:p w14:paraId="791E8A38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Kapsułek nie należy dzielić, ani żuć. </w:t>
      </w:r>
    </w:p>
    <w:p w14:paraId="23A98C8B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3A817043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Czas trwania leczenia</w:t>
      </w:r>
    </w:p>
    <w:p w14:paraId="12BC83EC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Lekarz zadecyduje o czasie trwania leczenia.</w:t>
      </w:r>
    </w:p>
    <w:p w14:paraId="651DB672" w14:textId="77777777" w:rsidR="002E1BB7" w:rsidRPr="00633E42" w:rsidRDefault="002E1BB7" w:rsidP="00FE2851">
      <w:pPr>
        <w:spacing w:after="0" w:line="240" w:lineRule="auto"/>
        <w:ind w:left="360"/>
        <w:rPr>
          <w:rFonts w:ascii="Times New Roman" w:hAnsi="Times New Roman"/>
        </w:rPr>
      </w:pPr>
    </w:p>
    <w:p w14:paraId="3FED18B8" w14:textId="77777777" w:rsidR="002E1BB7" w:rsidRPr="00633E42" w:rsidRDefault="002E1BB7" w:rsidP="00FE285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Przeciwwskazania</w:t>
      </w:r>
    </w:p>
    <w:p w14:paraId="05DA1481" w14:textId="77777777" w:rsidR="002E1BB7" w:rsidRPr="00633E42" w:rsidRDefault="002E1BB7" w:rsidP="00FE2851">
      <w:pPr>
        <w:spacing w:after="0" w:line="240" w:lineRule="auto"/>
        <w:ind w:left="708"/>
        <w:rPr>
          <w:rFonts w:ascii="Times New Roman" w:hAnsi="Times New Roman"/>
        </w:rPr>
      </w:pPr>
    </w:p>
    <w:p w14:paraId="1A513B2F" w14:textId="77777777" w:rsidR="002E1BB7" w:rsidRPr="00633E42" w:rsidRDefault="002E1BB7" w:rsidP="00FE285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Nadwrażliwość na substancję czynną lub którąkolwiek substancj</w:t>
      </w:r>
      <w:r>
        <w:rPr>
          <w:rFonts w:ascii="Times New Roman" w:hAnsi="Times New Roman"/>
        </w:rPr>
        <w:t>ę</w:t>
      </w:r>
      <w:r w:rsidRPr="00633E42">
        <w:rPr>
          <w:rFonts w:ascii="Times New Roman" w:hAnsi="Times New Roman"/>
        </w:rPr>
        <w:t xml:space="preserve"> pomocnicz</w:t>
      </w:r>
      <w:r>
        <w:rPr>
          <w:rFonts w:ascii="Times New Roman" w:hAnsi="Times New Roman"/>
        </w:rPr>
        <w:t>ą</w:t>
      </w:r>
      <w:r w:rsidRPr="00633E42">
        <w:rPr>
          <w:rFonts w:ascii="Times New Roman" w:hAnsi="Times New Roman"/>
        </w:rPr>
        <w:t xml:space="preserve"> wymienion</w:t>
      </w:r>
      <w:r>
        <w:rPr>
          <w:rFonts w:ascii="Times New Roman" w:hAnsi="Times New Roman"/>
        </w:rPr>
        <w:t>ą</w:t>
      </w:r>
      <w:r w:rsidRPr="00633E42">
        <w:rPr>
          <w:rFonts w:ascii="Times New Roman" w:hAnsi="Times New Roman"/>
        </w:rPr>
        <w:t xml:space="preserve"> w punkcie 6.1</w:t>
      </w:r>
      <w:r>
        <w:rPr>
          <w:rFonts w:ascii="Times New Roman" w:hAnsi="Times New Roman"/>
        </w:rPr>
        <w:t>.</w:t>
      </w:r>
    </w:p>
    <w:p w14:paraId="395834E5" w14:textId="77777777" w:rsidR="002E1BB7" w:rsidRPr="00633E42" w:rsidRDefault="002E1BB7" w:rsidP="00FE285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Tak jak inne niesteroidowe leki przeciwzapalne (NLPZ), diklofenak jest przeciwwskazany u pacjentów, u których po podaniu kwasu acetylosalicylowego lub innych NLPZ stwierdzono ataki astmy lub </w:t>
      </w:r>
      <w:r>
        <w:rPr>
          <w:rFonts w:ascii="Times New Roman" w:hAnsi="Times New Roman"/>
        </w:rPr>
        <w:t>nasilenie</w:t>
      </w:r>
      <w:r w:rsidRPr="00633E42">
        <w:rPr>
          <w:rFonts w:ascii="Times New Roman" w:hAnsi="Times New Roman"/>
        </w:rPr>
        <w:t xml:space="preserve"> astmy, pokrzywkę lub ostry nieżyt</w:t>
      </w:r>
      <w:r>
        <w:rPr>
          <w:rFonts w:ascii="Times New Roman" w:hAnsi="Times New Roman"/>
        </w:rPr>
        <w:t xml:space="preserve"> błony śluzowej</w:t>
      </w:r>
      <w:r w:rsidRPr="00633E42">
        <w:rPr>
          <w:rFonts w:ascii="Times New Roman" w:hAnsi="Times New Roman"/>
        </w:rPr>
        <w:t xml:space="preserve"> nosa. </w:t>
      </w:r>
    </w:p>
    <w:p w14:paraId="07F1FF39" w14:textId="77777777" w:rsidR="002E1BB7" w:rsidRPr="00633E42" w:rsidRDefault="002E1BB7" w:rsidP="00FE285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Choroba wrzodowa żołądka lub dwunastnicy, krwawienie z przewodu pokarmowego lub perforacja przewodu pokarmowego.</w:t>
      </w:r>
    </w:p>
    <w:p w14:paraId="69D8F2DD" w14:textId="77777777" w:rsidR="002E1BB7" w:rsidRPr="00633E42" w:rsidRDefault="002E1BB7" w:rsidP="00FE285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Nawracająca choroba wrzodowa</w:t>
      </w:r>
      <w:r>
        <w:rPr>
          <w:rFonts w:ascii="Times New Roman" w:hAnsi="Times New Roman"/>
        </w:rPr>
        <w:t xml:space="preserve"> lub </w:t>
      </w:r>
      <w:r w:rsidRPr="00633E42">
        <w:rPr>
          <w:rFonts w:ascii="Times New Roman" w:hAnsi="Times New Roman"/>
        </w:rPr>
        <w:t>krwawienie (stwierdzone w wywiadzie dwa lub więcej epizody choroby wrzodowej lub kr</w:t>
      </w:r>
      <w:r>
        <w:rPr>
          <w:rFonts w:ascii="Times New Roman" w:hAnsi="Times New Roman"/>
        </w:rPr>
        <w:t>w</w:t>
      </w:r>
      <w:r w:rsidRPr="00633E42">
        <w:rPr>
          <w:rFonts w:ascii="Times New Roman" w:hAnsi="Times New Roman"/>
        </w:rPr>
        <w:t>awienia).</w:t>
      </w:r>
    </w:p>
    <w:p w14:paraId="42E9FB3A" w14:textId="77777777" w:rsidR="002E1BB7" w:rsidRPr="00633E42" w:rsidRDefault="002E1BB7" w:rsidP="00B80C5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Stwierdzone w wywiadzie krwawienie z przewodu pok</w:t>
      </w:r>
      <w:r>
        <w:rPr>
          <w:rFonts w:ascii="Times New Roman" w:hAnsi="Times New Roman"/>
        </w:rPr>
        <w:t>ar</w:t>
      </w:r>
      <w:r w:rsidRPr="00633E42">
        <w:rPr>
          <w:rFonts w:ascii="Times New Roman" w:hAnsi="Times New Roman"/>
        </w:rPr>
        <w:t>mowego lub perforacja w wyniku stosowania NLPZ.</w:t>
      </w:r>
    </w:p>
    <w:p w14:paraId="2557ABFA" w14:textId="77777777" w:rsidR="002E1BB7" w:rsidRPr="00633E42" w:rsidRDefault="002E1BB7" w:rsidP="00B80C5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Zaburzenia hematologiczne (zaburzenia hematopoezy, uszkodzenie szpiku, porfiria, skaza krwotoczna).</w:t>
      </w:r>
    </w:p>
    <w:p w14:paraId="2F6D495F" w14:textId="77777777" w:rsidR="002E1BB7" w:rsidRPr="00982444" w:rsidRDefault="002E1BB7" w:rsidP="0052335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982444">
        <w:rPr>
          <w:rFonts w:ascii="Times New Roman" w:hAnsi="Times New Roman"/>
        </w:rPr>
        <w:t>Stwierdzona zastoinowa niewydolność serca (klasa II</w:t>
      </w:r>
      <w:r>
        <w:rPr>
          <w:rFonts w:ascii="Times New Roman" w:hAnsi="Times New Roman"/>
        </w:rPr>
        <w:t>–</w:t>
      </w:r>
      <w:r w:rsidRPr="00982444">
        <w:rPr>
          <w:rFonts w:ascii="Times New Roman" w:hAnsi="Times New Roman"/>
        </w:rPr>
        <w:t>IV wg NYHA), choroba niedokrwienna serca, choroba naczyń obwodowych i (lub) choroba naczyń mózgowych.</w:t>
      </w:r>
    </w:p>
    <w:p w14:paraId="5BBA9F6F" w14:textId="77777777" w:rsidR="002E1BB7" w:rsidRPr="00633E42" w:rsidRDefault="002E1BB7" w:rsidP="00B80C5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Krwawienie w obrębie mózgu.</w:t>
      </w:r>
    </w:p>
    <w:p w14:paraId="21835A4A" w14:textId="77777777" w:rsidR="002E1BB7" w:rsidRPr="00633E42" w:rsidRDefault="002E1BB7" w:rsidP="00B80C5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Ciężkie krwawienie.</w:t>
      </w:r>
    </w:p>
    <w:p w14:paraId="472B911D" w14:textId="77777777" w:rsidR="002E1BB7" w:rsidRPr="00633E42" w:rsidRDefault="002E1BB7" w:rsidP="00B80C5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Ciężka niewydolność wątroby lub nerek (patrz punkt 4.4). </w:t>
      </w:r>
    </w:p>
    <w:p w14:paraId="6D6AE345" w14:textId="77777777" w:rsidR="002E1BB7" w:rsidRPr="00633E42" w:rsidRDefault="002E1BB7" w:rsidP="00B80C5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Trzeci trymestr ciąży (patrz punkt 4.6). </w:t>
      </w:r>
    </w:p>
    <w:p w14:paraId="389DB0D3" w14:textId="77777777" w:rsidR="002E1BB7" w:rsidRPr="00633E42" w:rsidRDefault="002E1BB7">
      <w:pPr>
        <w:pStyle w:val="Akapitzlist"/>
        <w:numPr>
          <w:ilvl w:val="0"/>
          <w:numId w:val="2"/>
        </w:numPr>
        <w:spacing w:after="0" w:line="240" w:lineRule="auto"/>
      </w:pPr>
      <w:r w:rsidRPr="00633E42">
        <w:rPr>
          <w:rFonts w:ascii="Times New Roman" w:hAnsi="Times New Roman"/>
        </w:rPr>
        <w:t xml:space="preserve">Dzieci i młodzież poniżej 18 lat (z uwagi na </w:t>
      </w:r>
      <w:r>
        <w:rPr>
          <w:rFonts w:ascii="Times New Roman" w:hAnsi="Times New Roman"/>
        </w:rPr>
        <w:t xml:space="preserve">dużą </w:t>
      </w:r>
      <w:r w:rsidRPr="00633E42">
        <w:rPr>
          <w:rFonts w:ascii="Times New Roman" w:hAnsi="Times New Roman"/>
        </w:rPr>
        <w:t>zawartość witaminy B).</w:t>
      </w:r>
    </w:p>
    <w:p w14:paraId="149551B7" w14:textId="77777777" w:rsidR="002E1BB7" w:rsidRPr="00633E42" w:rsidRDefault="002E1BB7" w:rsidP="00FE2851">
      <w:pPr>
        <w:spacing w:after="0" w:line="240" w:lineRule="auto"/>
        <w:ind w:left="360"/>
        <w:rPr>
          <w:rFonts w:ascii="Times New Roman" w:hAnsi="Times New Roman"/>
          <w:b/>
        </w:rPr>
      </w:pPr>
    </w:p>
    <w:p w14:paraId="3F6CA2C3" w14:textId="77777777" w:rsidR="002E1BB7" w:rsidRPr="00633E42" w:rsidRDefault="002E1BB7" w:rsidP="00FE285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Specjalne ostrzeżenia i środki ostrożności dotyczące stosowania</w:t>
      </w:r>
    </w:p>
    <w:p w14:paraId="45ACDF0B" w14:textId="77777777" w:rsidR="002E1BB7" w:rsidRPr="00633E42" w:rsidRDefault="002E1BB7" w:rsidP="00FE2851">
      <w:pPr>
        <w:spacing w:after="0" w:line="240" w:lineRule="auto"/>
        <w:ind w:left="708"/>
        <w:rPr>
          <w:rFonts w:ascii="Times New Roman" w:hAnsi="Times New Roman"/>
        </w:rPr>
      </w:pPr>
    </w:p>
    <w:p w14:paraId="13F5786C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Zaleca się zachowanie szczególnej ostrożności w trakcie stosowania diklofenaku w pierwszym i drugim trymestrze ciąży; stosowanie w okresie laktacji nie jest wskazane (patrz punkt 4.6). </w:t>
      </w:r>
    </w:p>
    <w:p w14:paraId="4B198F64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lastRenderedPageBreak/>
        <w:t>Należy unikać jednoczesnego stosowania diklofenaku i NLPZ w tym selektywnych inhibitorów cyklooksygenazy-2,</w:t>
      </w:r>
      <w:r>
        <w:rPr>
          <w:rFonts w:ascii="Times New Roman" w:hAnsi="Times New Roman"/>
        </w:rPr>
        <w:t xml:space="preserve"> </w:t>
      </w:r>
      <w:r w:rsidRPr="00633E42">
        <w:rPr>
          <w:rFonts w:ascii="Times New Roman" w:hAnsi="Times New Roman"/>
        </w:rPr>
        <w:t xml:space="preserve">z uwagi na brak jakichkolwiek dowodów na działanie synergiczne oraz potencjalne działania niepożądane. </w:t>
      </w:r>
    </w:p>
    <w:p w14:paraId="2E9EC619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1C226D99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Wpływ na</w:t>
      </w:r>
      <w:r w:rsidRPr="009010CE">
        <w:rPr>
          <w:rFonts w:ascii="Times New Roman" w:hAnsi="Times New Roman"/>
          <w:u w:val="single"/>
        </w:rPr>
        <w:t xml:space="preserve"> układ pokarmow</w:t>
      </w:r>
      <w:r>
        <w:rPr>
          <w:rFonts w:ascii="Times New Roman" w:hAnsi="Times New Roman"/>
          <w:u w:val="single"/>
        </w:rPr>
        <w:t>y</w:t>
      </w:r>
    </w:p>
    <w:p w14:paraId="6FD3491E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Istnieją doniesienia, że podczas stosowania NLPZ mogą wystąpić krwawienia z układu pokarmowego, choroba wrzodowa lub perforacja, które mogą powodować zgon, z występującymi lub nie objawami ostrzegawczymi w powiązaniu lub nie ze stwierdzonymi w wywiadzie poważnymi zaburzeniami ze strony układu pokarmowego. Działania te mają zazwyczaj poważniejsze następstwa u pacjentów w podeszłym wieku.</w:t>
      </w:r>
      <w:r>
        <w:rPr>
          <w:rFonts w:ascii="Times New Roman" w:hAnsi="Times New Roman"/>
        </w:rPr>
        <w:t xml:space="preserve"> </w:t>
      </w:r>
    </w:p>
    <w:p w14:paraId="17A8E921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460459C0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Jeśli podczas stosowania diklofenaku wystąpi krwawienie z układu pokarmowego lub owrzodzenie, należy przerwać leczenie.</w:t>
      </w:r>
    </w:p>
    <w:p w14:paraId="2FF3EE85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3C124101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Tak jak w przypadku wszystkich NLPZ, w tym diklofenaku, wymagana jest ścisła kontrola</w:t>
      </w:r>
      <w:r>
        <w:rPr>
          <w:rFonts w:ascii="Times New Roman" w:hAnsi="Times New Roman"/>
        </w:rPr>
        <w:t xml:space="preserve"> </w:t>
      </w:r>
      <w:r w:rsidRPr="00633E42">
        <w:rPr>
          <w:rFonts w:ascii="Times New Roman" w:hAnsi="Times New Roman"/>
        </w:rPr>
        <w:t xml:space="preserve">i szczególna ostrożność w przypadku pacjentów z objawami wskazującymi na zaburzenia układu pokarmowego lub ze stwierdzonymi w wywiadzie objawami sugerującymi chorobę wrzodową żołądka lub jelit, krwawienie lub perforację (patrz punkt 4.8). </w:t>
      </w:r>
    </w:p>
    <w:p w14:paraId="2354914A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7E569A1F" w14:textId="738D14A0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U pacjentów ze stwierdzoną w wywiadzie chorobą wrzodową, szczególnie jeśli towarzyszą jej krwawienia lub perforacja (patrz punkt 4.3) oraz u pacjentów w podeszłym wieku, ryzyko wystąpienia krwawienia z układu pokarmowego, choroby wrzodowej lub perforacji wzrasta wraz ze zwiększaniem dawki NLPZ. U tych pacjentów należy rozpoczynać leczenie od naj</w:t>
      </w:r>
      <w:r>
        <w:rPr>
          <w:rFonts w:ascii="Times New Roman" w:hAnsi="Times New Roman"/>
        </w:rPr>
        <w:t>mniejszej</w:t>
      </w:r>
      <w:r w:rsidRPr="00633E42">
        <w:rPr>
          <w:rFonts w:ascii="Times New Roman" w:hAnsi="Times New Roman"/>
        </w:rPr>
        <w:t xml:space="preserve"> dostępnej dawki. Należy również rozważyć leczenie skojarzone z lekami osłonowymi (np. mizoprostolem lub inhibitorami pompy protonowej) zarówno u tych pacjentów jak i pacjentów wymagających jednoczesnego podawania niskich dawek kwasu acetylosalicylowego lub innych leków, które mogą zwiększać ryzyko powikłań ze strony układu </w:t>
      </w:r>
      <w:r w:rsidR="00744A40" w:rsidRPr="00744A40">
        <w:rPr>
          <w:rFonts w:ascii="Times New Roman" w:hAnsi="Times New Roman"/>
        </w:rPr>
        <w:t>pokarmowego</w:t>
      </w:r>
      <w:r w:rsidR="00744A40" w:rsidRPr="00744A40" w:rsidDel="00744A40">
        <w:rPr>
          <w:rFonts w:ascii="Times New Roman" w:hAnsi="Times New Roman"/>
        </w:rPr>
        <w:t xml:space="preserve"> </w:t>
      </w:r>
      <w:r w:rsidRPr="00633E42">
        <w:rPr>
          <w:rFonts w:ascii="Times New Roman" w:hAnsi="Times New Roman"/>
        </w:rPr>
        <w:t xml:space="preserve">(patrz poniżej i punkt 4.5). </w:t>
      </w:r>
    </w:p>
    <w:p w14:paraId="5B639A16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171B1D87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Pacjenci z objawami toksycznego działania na układ pokarmowy stwierdzonymi w wywiadzie, a szczególnie pacjenci w podeszłym wieku, powinni zgłaszać wszelkie nietypowe objawy za strony układu pokarmowego (w szczególności krwawienia z układu pokarmowego), zwłaszcza na początku leczenia.</w:t>
      </w:r>
    </w:p>
    <w:p w14:paraId="06488E3A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2884F3CE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Zaleca się zachowanie ostrożności u pacjentów przyjmujących jednocześnie leki mogące wzmagać ryzyko wystąpienia choroby wrzodowej lub krwawienia, jak doustne kortykosteroidy, leki przeciwzakrzepowe jak warfaryna, selektywne inhibitory wychwytu zwrotnego serotoniny, </w:t>
      </w:r>
      <w:r>
        <w:rPr>
          <w:rFonts w:ascii="Times New Roman" w:hAnsi="Times New Roman"/>
        </w:rPr>
        <w:t>leki</w:t>
      </w:r>
      <w:r w:rsidRPr="00633E42">
        <w:rPr>
          <w:rFonts w:ascii="Times New Roman" w:hAnsi="Times New Roman"/>
        </w:rPr>
        <w:t xml:space="preserve"> przeciwpłytkowe jak kwas acetylosalicylowy (patrz punkt 4.5).</w:t>
      </w:r>
    </w:p>
    <w:p w14:paraId="0F89EA2C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38E966A3" w14:textId="77777777" w:rsidR="002E1BB7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NLPZ należy stosować ostrożnie u pacjentów z chorobami przewodu pokarmowego</w:t>
      </w:r>
      <w:r>
        <w:rPr>
          <w:rFonts w:ascii="Times New Roman" w:hAnsi="Times New Roman"/>
        </w:rPr>
        <w:t xml:space="preserve"> w wywiadzie</w:t>
      </w:r>
      <w:r w:rsidRPr="00633E42">
        <w:rPr>
          <w:rFonts w:ascii="Times New Roman" w:hAnsi="Times New Roman"/>
        </w:rPr>
        <w:t xml:space="preserve"> (wrzodziejące zapalenie jelita grubego, choroba Leśniowskiego-Crohna), ponieważ ich stan może ulec zaostrzeniu (patrz punkt 4.8).</w:t>
      </w:r>
    </w:p>
    <w:p w14:paraId="43D21265" w14:textId="77777777" w:rsidR="00617559" w:rsidRDefault="00617559" w:rsidP="00FE2851">
      <w:pPr>
        <w:spacing w:after="0" w:line="240" w:lineRule="auto"/>
        <w:rPr>
          <w:rFonts w:ascii="Times New Roman" w:hAnsi="Times New Roman"/>
        </w:rPr>
      </w:pPr>
    </w:p>
    <w:p w14:paraId="05526B04" w14:textId="77777777" w:rsidR="00F66A1F" w:rsidRDefault="00F66A1F" w:rsidP="00FE2851">
      <w:pPr>
        <w:spacing w:after="0" w:line="240" w:lineRule="auto"/>
        <w:rPr>
          <w:rFonts w:ascii="Times New Roman" w:hAnsi="Times New Roman"/>
        </w:rPr>
      </w:pPr>
      <w:r w:rsidRPr="00F66A1F">
        <w:rPr>
          <w:rFonts w:ascii="Times New Roman" w:hAnsi="Times New Roman"/>
        </w:rPr>
        <w:t>Stosowanie NLPZ, w tym diklofenaku, może wiązać się ze zwiększeniem ryzyka nieszczelności zespolenia żołądkowo-jelitowego. Zaleca się ścisły nadzór medyczny i zachowanie ostrożności podczas stosowania diklofenaku po operacjach przewodu pokarmowego.</w:t>
      </w:r>
    </w:p>
    <w:p w14:paraId="6D134E15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18A777CA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 w:rsidRPr="009010CE">
        <w:rPr>
          <w:rFonts w:ascii="Times New Roman" w:hAnsi="Times New Roman"/>
          <w:u w:val="single"/>
        </w:rPr>
        <w:t xml:space="preserve">Pacjenci </w:t>
      </w:r>
      <w:r>
        <w:rPr>
          <w:rFonts w:ascii="Times New Roman" w:hAnsi="Times New Roman"/>
          <w:u w:val="single"/>
        </w:rPr>
        <w:t>w podeszłym wieku</w:t>
      </w:r>
      <w:r w:rsidRPr="009010CE">
        <w:rPr>
          <w:rFonts w:ascii="Times New Roman" w:hAnsi="Times New Roman"/>
          <w:u w:val="single"/>
        </w:rPr>
        <w:t xml:space="preserve"> (&gt; 65 lat)</w:t>
      </w:r>
    </w:p>
    <w:p w14:paraId="6BAB331B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U pacjentów </w:t>
      </w:r>
      <w:r w:rsidRPr="00982444">
        <w:rPr>
          <w:rFonts w:ascii="Times New Roman" w:hAnsi="Times New Roman"/>
        </w:rPr>
        <w:t xml:space="preserve">w podeszłym wieku </w:t>
      </w:r>
      <w:r w:rsidRPr="00633E42">
        <w:rPr>
          <w:rFonts w:ascii="Times New Roman" w:hAnsi="Times New Roman"/>
        </w:rPr>
        <w:t>częściej występują działania niepożądane po podaniu NLPZ, szczególnie dotyczy to krwawienia z przewodu pokarmowego i perforacji, które mogą kończyć się zgonem.</w:t>
      </w:r>
    </w:p>
    <w:p w14:paraId="21D491E4" w14:textId="4E426520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U pacjentów </w:t>
      </w:r>
      <w:r w:rsidRPr="00982444">
        <w:rPr>
          <w:rFonts w:ascii="Times New Roman" w:hAnsi="Times New Roman"/>
        </w:rPr>
        <w:t>w podeszłym wieku</w:t>
      </w:r>
      <w:r w:rsidRPr="00633E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należy </w:t>
      </w:r>
      <w:r w:rsidRPr="00633E42">
        <w:rPr>
          <w:rFonts w:ascii="Times New Roman" w:hAnsi="Times New Roman"/>
        </w:rPr>
        <w:t xml:space="preserve">zachować szczególną ostrożność. </w:t>
      </w:r>
      <w:r>
        <w:rPr>
          <w:rFonts w:ascii="Times New Roman" w:hAnsi="Times New Roman"/>
        </w:rPr>
        <w:t>W szczególności z</w:t>
      </w:r>
      <w:r w:rsidRPr="00633E42">
        <w:rPr>
          <w:rFonts w:ascii="Times New Roman" w:hAnsi="Times New Roman"/>
        </w:rPr>
        <w:t>aleca się stosowanie naj</w:t>
      </w:r>
      <w:r>
        <w:rPr>
          <w:rFonts w:ascii="Times New Roman" w:hAnsi="Times New Roman"/>
        </w:rPr>
        <w:t>mniejszej</w:t>
      </w:r>
      <w:r w:rsidRPr="00633E42">
        <w:rPr>
          <w:rFonts w:ascii="Times New Roman" w:hAnsi="Times New Roman"/>
        </w:rPr>
        <w:t xml:space="preserve"> skutecznej dawki u osób osłabionych i z niedowagą (patrz punkt 4.2).</w:t>
      </w:r>
    </w:p>
    <w:p w14:paraId="72ED8DB3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1E61FCDF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 w:rsidRPr="009010CE">
        <w:rPr>
          <w:rFonts w:ascii="Times New Roman" w:hAnsi="Times New Roman"/>
          <w:u w:val="single"/>
        </w:rPr>
        <w:t>Wpływ na układ krążenia i krążenie mózgowe</w:t>
      </w:r>
    </w:p>
    <w:p w14:paraId="302EBFC5" w14:textId="642E4D19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lastRenderedPageBreak/>
        <w:t xml:space="preserve">Należy odpowiednio monitorować </w:t>
      </w:r>
      <w:r>
        <w:rPr>
          <w:rFonts w:ascii="Times New Roman" w:hAnsi="Times New Roman"/>
        </w:rPr>
        <w:t xml:space="preserve">i wydać właściwe zalecenia </w:t>
      </w:r>
      <w:r w:rsidRPr="00633E42">
        <w:rPr>
          <w:rFonts w:ascii="Times New Roman" w:hAnsi="Times New Roman"/>
        </w:rPr>
        <w:t>pacjent</w:t>
      </w:r>
      <w:r>
        <w:rPr>
          <w:rFonts w:ascii="Times New Roman" w:hAnsi="Times New Roman"/>
        </w:rPr>
        <w:t>om</w:t>
      </w:r>
      <w:r w:rsidRPr="00633E42">
        <w:rPr>
          <w:rFonts w:ascii="Times New Roman" w:hAnsi="Times New Roman"/>
        </w:rPr>
        <w:t xml:space="preserve"> z nadciśnieniem i (lub) łagodną do umiarkowanej zastoinową niewydolnością serca</w:t>
      </w:r>
      <w:r>
        <w:rPr>
          <w:rFonts w:ascii="Times New Roman" w:hAnsi="Times New Roman"/>
        </w:rPr>
        <w:t>,</w:t>
      </w:r>
      <w:r w:rsidRPr="00633E42">
        <w:rPr>
          <w:rFonts w:ascii="Times New Roman" w:hAnsi="Times New Roman"/>
        </w:rPr>
        <w:t xml:space="preserve"> ponieważ w związku z leczeniem NLPZ zgłaszane były zatrzymanie płynów i obrzęk</w:t>
      </w:r>
      <w:r>
        <w:rPr>
          <w:rFonts w:ascii="Times New Roman" w:hAnsi="Times New Roman"/>
        </w:rPr>
        <w:t>i</w:t>
      </w:r>
      <w:r w:rsidRPr="00633E42">
        <w:rPr>
          <w:rFonts w:ascii="Times New Roman" w:hAnsi="Times New Roman"/>
        </w:rPr>
        <w:t xml:space="preserve">. </w:t>
      </w:r>
    </w:p>
    <w:p w14:paraId="0C7FAA5B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Badania kliniczne i dane epidemiologiczne wskazują, że stosowanie diklofenaku, szczególnie w dużych dawkach (150 mg na dobę) </w:t>
      </w:r>
      <w:r>
        <w:rPr>
          <w:rFonts w:ascii="Times New Roman" w:hAnsi="Times New Roman"/>
        </w:rPr>
        <w:t>i</w:t>
      </w:r>
      <w:r w:rsidRPr="00633E42">
        <w:rPr>
          <w:rFonts w:ascii="Times New Roman" w:hAnsi="Times New Roman"/>
        </w:rPr>
        <w:t xml:space="preserve"> długotrw</w:t>
      </w:r>
      <w:r>
        <w:rPr>
          <w:rFonts w:ascii="Times New Roman" w:hAnsi="Times New Roman"/>
        </w:rPr>
        <w:t>ale</w:t>
      </w:r>
      <w:r w:rsidRPr="00633E42">
        <w:rPr>
          <w:rFonts w:ascii="Times New Roman" w:hAnsi="Times New Roman"/>
        </w:rPr>
        <w:t xml:space="preserve"> związane jest z niewielkim wzrostem ryzyka tętniczych powikłań zakrzepowych (np. zawał serca lub udar) (patrz punkt 4.3 i 4.4). Należy stosować najmniejszą skuteczną dawkę przez najkrótszy możliwy okres. </w:t>
      </w:r>
    </w:p>
    <w:p w14:paraId="18B72AF8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45F831A1" w14:textId="5F509511" w:rsidR="002E1BB7" w:rsidRPr="00982444" w:rsidRDefault="002E1BB7" w:rsidP="00581357">
      <w:pPr>
        <w:rPr>
          <w:rFonts w:ascii="Times New Roman" w:hAnsi="Times New Roman"/>
        </w:rPr>
      </w:pPr>
      <w:r w:rsidRPr="00982444">
        <w:rPr>
          <w:rFonts w:ascii="Times New Roman" w:hAnsi="Times New Roman"/>
        </w:rPr>
        <w:t xml:space="preserve">Diklofenak należy stosować ostrożnie u pacjentów z istotnymi czynnikami ryzyka zdarzeń dotyczących układu krążenia (np. nadciśnienie tętnicze, hiperlipidemia, cukrzyca, palenie tytoniu). </w:t>
      </w:r>
    </w:p>
    <w:p w14:paraId="5D94B68B" w14:textId="77777777" w:rsidR="002E1BB7" w:rsidRDefault="002E1BB7">
      <w:pPr>
        <w:rPr>
          <w:rFonts w:ascii="Times New Roman" w:hAnsi="Times New Roman"/>
        </w:rPr>
      </w:pPr>
      <w:r w:rsidRPr="00982444">
        <w:rPr>
          <w:rFonts w:ascii="Times New Roman" w:hAnsi="Times New Roman"/>
        </w:rPr>
        <w:t>Produkt ten należy stosować możliwie jak najkrócej i w najmniejszej skutecznej dawce dobowej, ze względu na możliwość nasilenia ryzyka dotyczącego układu krążenia po zastosowaniu diklofenaku w</w:t>
      </w:r>
      <w:r>
        <w:rPr>
          <w:rFonts w:ascii="Times New Roman" w:hAnsi="Times New Roman"/>
        </w:rPr>
        <w:t> </w:t>
      </w:r>
      <w:r w:rsidRPr="00982444">
        <w:rPr>
          <w:rFonts w:ascii="Times New Roman" w:hAnsi="Times New Roman"/>
        </w:rPr>
        <w:t>dużych dawkach i długotrwale. Należy okresowo kontrolować konieczność kontynuacji leczenia objawowego i odpowiedź na leczenie.</w:t>
      </w:r>
    </w:p>
    <w:p w14:paraId="2D2BD028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 w:rsidRPr="009010CE">
        <w:rPr>
          <w:rFonts w:ascii="Times New Roman" w:hAnsi="Times New Roman"/>
          <w:u w:val="single"/>
        </w:rPr>
        <w:t>Reakcja skórne</w:t>
      </w:r>
    </w:p>
    <w:p w14:paraId="04DD6A53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Podczas stosowania NLPZ bardzo rzadko zgłaszano poważne reakcje skórne, niektóre zakończone zgonem, w tym złuszczające zapalenie skóry, zespół Stevensa-Johnsona i </w:t>
      </w:r>
      <w:r w:rsidRPr="00982444">
        <w:rPr>
          <w:rFonts w:ascii="Times New Roman" w:hAnsi="Times New Roman"/>
          <w:bCs/>
        </w:rPr>
        <w:t>toksyczne martwicze oddzielanie się</w:t>
      </w:r>
      <w:r w:rsidRPr="002950FB">
        <w:rPr>
          <w:bCs/>
        </w:rPr>
        <w:t xml:space="preserve"> </w:t>
      </w:r>
      <w:r w:rsidRPr="00633E42">
        <w:rPr>
          <w:rFonts w:ascii="Times New Roman" w:hAnsi="Times New Roman"/>
        </w:rPr>
        <w:t>naskórka (patrz punkt 4.8). Wydaje się, że pacjenci najbardziej narażeni są na ryzyko takich powikłań na początku leczenia, działania te występują w większości przypadków w pierwszym miesiącu leczenia. Diklofenak należy odstawić po pierwszych objawach wysypki skórnej, zmian na błonach śluzowych lub jakichkolwiek innych objawach nadwrażliwości.</w:t>
      </w:r>
    </w:p>
    <w:p w14:paraId="3D4492D2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0AC163A0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 w:rsidRPr="009010CE">
        <w:rPr>
          <w:rFonts w:ascii="Times New Roman" w:hAnsi="Times New Roman"/>
          <w:u w:val="single"/>
        </w:rPr>
        <w:t>Wpływ na wątrobę</w:t>
      </w:r>
    </w:p>
    <w:p w14:paraId="3817A2BA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U pacjentów z zaburzeniem czynności wątroby wymagana jest ścisła kontrola medyczna, ponieważ ich stan może się pogorszyć. </w:t>
      </w:r>
    </w:p>
    <w:p w14:paraId="7DCA9CD9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Tak jak w przypadku innych NLPZ, w tym diklofenaku, wartości jednego lub wielu enzymów wątrobowych mogą zwiększyć się. Podczas przedłużającego się leczenia diklofenakiem, zaleca się jako środek zapobiegawczy regularny monitoring czynności wątroby. Jeśli </w:t>
      </w:r>
      <w:r>
        <w:rPr>
          <w:rFonts w:ascii="Times New Roman" w:hAnsi="Times New Roman"/>
        </w:rPr>
        <w:t xml:space="preserve">nieprawidłowe wyniki </w:t>
      </w:r>
      <w:r w:rsidRPr="00633E42">
        <w:rPr>
          <w:rFonts w:ascii="Times New Roman" w:hAnsi="Times New Roman"/>
        </w:rPr>
        <w:t>test</w:t>
      </w:r>
      <w:r>
        <w:rPr>
          <w:rFonts w:ascii="Times New Roman" w:hAnsi="Times New Roman"/>
        </w:rPr>
        <w:t>ów</w:t>
      </w:r>
      <w:r w:rsidRPr="00633E42">
        <w:rPr>
          <w:rFonts w:ascii="Times New Roman" w:hAnsi="Times New Roman"/>
        </w:rPr>
        <w:t xml:space="preserve"> czynnościow</w:t>
      </w:r>
      <w:r>
        <w:rPr>
          <w:rFonts w:ascii="Times New Roman" w:hAnsi="Times New Roman"/>
        </w:rPr>
        <w:t>ych</w:t>
      </w:r>
      <w:r w:rsidRPr="00633E42">
        <w:rPr>
          <w:rFonts w:ascii="Times New Roman" w:hAnsi="Times New Roman"/>
        </w:rPr>
        <w:t xml:space="preserve"> wątroby utrzymują się lub nasilają, jeśli objawy kliniczne lub objawy wskazujące na chorobę wątroby rozwijają się lub jeśli występują inne objawy (np</w:t>
      </w:r>
      <w:r>
        <w:rPr>
          <w:rFonts w:ascii="Times New Roman" w:hAnsi="Times New Roman"/>
        </w:rPr>
        <w:t>.</w:t>
      </w:r>
      <w:r w:rsidRPr="00633E42">
        <w:rPr>
          <w:rFonts w:ascii="Times New Roman" w:hAnsi="Times New Roman"/>
        </w:rPr>
        <w:t xml:space="preserve"> eozynofilia, wysypka), diklofenak należy odstawić. Zapalenie wątroby może wystąpić bez objawów prodromalnych.</w:t>
      </w:r>
    </w:p>
    <w:p w14:paraId="60F02485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Należy zachować ostrożność p</w:t>
      </w:r>
      <w:r>
        <w:rPr>
          <w:rFonts w:ascii="Times New Roman" w:hAnsi="Times New Roman"/>
        </w:rPr>
        <w:t>odczas</w:t>
      </w:r>
      <w:r w:rsidRPr="00633E42">
        <w:rPr>
          <w:rFonts w:ascii="Times New Roman" w:hAnsi="Times New Roman"/>
        </w:rPr>
        <w:t xml:space="preserve"> stosowaniu diklofenaku u pacjentów z porfirią wątrobową, ponieważ może to wywołać </w:t>
      </w:r>
      <w:r>
        <w:rPr>
          <w:rFonts w:ascii="Times New Roman" w:hAnsi="Times New Roman"/>
        </w:rPr>
        <w:t>napad choroby</w:t>
      </w:r>
      <w:r w:rsidRPr="00633E42">
        <w:rPr>
          <w:rFonts w:ascii="Times New Roman" w:hAnsi="Times New Roman"/>
        </w:rPr>
        <w:t>.</w:t>
      </w:r>
    </w:p>
    <w:p w14:paraId="77B5ED89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19669E34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 w:rsidRPr="009010CE">
        <w:rPr>
          <w:rFonts w:ascii="Times New Roman" w:hAnsi="Times New Roman"/>
          <w:u w:val="single"/>
        </w:rPr>
        <w:t>Wpływ na krążenie i nerki oraz bilans płynów i elektrolitów</w:t>
      </w:r>
    </w:p>
    <w:p w14:paraId="10CFE711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633E42">
        <w:rPr>
          <w:rFonts w:ascii="Times New Roman" w:hAnsi="Times New Roman"/>
        </w:rPr>
        <w:t xml:space="preserve"> związku ze stosowaniem NLPZ odnotowano zatrzymanie płynów i obrzęk, </w:t>
      </w:r>
      <w:r>
        <w:rPr>
          <w:rFonts w:ascii="Times New Roman" w:hAnsi="Times New Roman"/>
        </w:rPr>
        <w:t xml:space="preserve">dlatego </w:t>
      </w:r>
      <w:r w:rsidRPr="00633E42">
        <w:rPr>
          <w:rFonts w:ascii="Times New Roman" w:hAnsi="Times New Roman"/>
        </w:rPr>
        <w:t>należy zachować szczególną ostrożność u pacjentów z zaburzeniami serca lub nerek, ze stwierdzonym w wywiadzie nadciśnieniem</w:t>
      </w:r>
      <w:r>
        <w:rPr>
          <w:rFonts w:ascii="Times New Roman" w:hAnsi="Times New Roman"/>
        </w:rPr>
        <w:t xml:space="preserve"> tętniczym</w:t>
      </w:r>
      <w:r w:rsidRPr="00633E42">
        <w:rPr>
          <w:rFonts w:ascii="Times New Roman" w:hAnsi="Times New Roman"/>
        </w:rPr>
        <w:t xml:space="preserve">, u pacjentów </w:t>
      </w:r>
      <w:r>
        <w:rPr>
          <w:rFonts w:ascii="Times New Roman" w:hAnsi="Times New Roman"/>
        </w:rPr>
        <w:t>w podeszłym wieku</w:t>
      </w:r>
      <w:r w:rsidRPr="00633E42">
        <w:rPr>
          <w:rFonts w:ascii="Times New Roman" w:hAnsi="Times New Roman"/>
        </w:rPr>
        <w:t xml:space="preserve">, pacjentów stosujących jednocześnie leki moczopędne lub inne leki mogące w znacznym stopniu zaburzać czynność nerek. </w:t>
      </w:r>
    </w:p>
    <w:p w14:paraId="12E0372B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3EB124BE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U pacjentów z istotnym zmniejszenie</w:t>
      </w:r>
      <w:r>
        <w:rPr>
          <w:rFonts w:ascii="Times New Roman" w:hAnsi="Times New Roman"/>
        </w:rPr>
        <w:t>m</w:t>
      </w:r>
      <w:r w:rsidRPr="00633E42">
        <w:rPr>
          <w:rFonts w:ascii="Times New Roman" w:hAnsi="Times New Roman"/>
        </w:rPr>
        <w:t xml:space="preserve"> objętości płynów zewnątrzkomórkowych z jakiegokolwiek powodu, np. przed lub po dużym zabiegu chirurgicznym, należy zachować szczególn</w:t>
      </w:r>
      <w:r>
        <w:rPr>
          <w:rFonts w:ascii="Times New Roman" w:hAnsi="Times New Roman"/>
        </w:rPr>
        <w:t>ą</w:t>
      </w:r>
      <w:r w:rsidRPr="00633E42">
        <w:rPr>
          <w:rFonts w:ascii="Times New Roman" w:hAnsi="Times New Roman"/>
        </w:rPr>
        <w:t xml:space="preserve"> ostrożnoś</w:t>
      </w:r>
      <w:r>
        <w:rPr>
          <w:rFonts w:ascii="Times New Roman" w:hAnsi="Times New Roman"/>
        </w:rPr>
        <w:t>ć</w:t>
      </w:r>
      <w:r w:rsidRPr="00633E42">
        <w:rPr>
          <w:rFonts w:ascii="Times New Roman" w:hAnsi="Times New Roman"/>
        </w:rPr>
        <w:t xml:space="preserve"> z uwagi na ryzyko powikłań w tym krwawienie lub zaburzenia równowagi elektrolitowej. </w:t>
      </w:r>
    </w:p>
    <w:p w14:paraId="2CDB68BD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Zaleca się monitoring czynności nerek jako środek zapobiegawczy podczas stosowania diklofenaku w takich przypadkach. </w:t>
      </w:r>
    </w:p>
    <w:p w14:paraId="784DDAB9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5DCCD0A9" w14:textId="317396FA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Ryzyko działań niepożądanych ze strony nerek wzrasta</w:t>
      </w:r>
      <w:r>
        <w:rPr>
          <w:rFonts w:ascii="Times New Roman" w:hAnsi="Times New Roman"/>
        </w:rPr>
        <w:t>,</w:t>
      </w:r>
      <w:r w:rsidRPr="00633E42">
        <w:rPr>
          <w:rFonts w:ascii="Times New Roman" w:hAnsi="Times New Roman"/>
        </w:rPr>
        <w:t xml:space="preserve"> jeśli diklofenak stosowany jest równocześnie z inhibitorem ACE (patrz punkt 4.5).</w:t>
      </w:r>
    </w:p>
    <w:p w14:paraId="156DBB23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2DB0FC17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 w:rsidRPr="009010CE">
        <w:rPr>
          <w:rFonts w:ascii="Times New Roman" w:hAnsi="Times New Roman"/>
          <w:u w:val="single"/>
        </w:rPr>
        <w:t>Hematologia</w:t>
      </w:r>
    </w:p>
    <w:p w14:paraId="79C3D80B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lastRenderedPageBreak/>
        <w:t>Podczas przedłużającego się leczenia diklofenakiem, tak jak w przypadku innych NLPZ, zaleca się monitorowanie morfologii krwi.</w:t>
      </w:r>
    </w:p>
    <w:p w14:paraId="69440818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Szczególna ostrożność zalecana jest u pacjentów z zaburzeniami krzepnięcia i trombocytopenią (patrz</w:t>
      </w:r>
      <w:r>
        <w:rPr>
          <w:rFonts w:ascii="Times New Roman" w:hAnsi="Times New Roman"/>
        </w:rPr>
        <w:t xml:space="preserve"> </w:t>
      </w:r>
      <w:r w:rsidRPr="00633E42">
        <w:rPr>
          <w:rFonts w:ascii="Times New Roman" w:hAnsi="Times New Roman"/>
        </w:rPr>
        <w:t>również punkt 4.3). Tak jak inne NLPZ, diklofenak p</w:t>
      </w:r>
      <w:r>
        <w:rPr>
          <w:rFonts w:ascii="Times New Roman" w:hAnsi="Times New Roman"/>
        </w:rPr>
        <w:t>o</w:t>
      </w:r>
      <w:r w:rsidRPr="00633E42">
        <w:rPr>
          <w:rFonts w:ascii="Times New Roman" w:hAnsi="Times New Roman"/>
        </w:rPr>
        <w:t xml:space="preserve"> zastosowaniu większych dawek może hamować agregacje płytek krwi. </w:t>
      </w:r>
    </w:p>
    <w:p w14:paraId="71F76259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3A84E42C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 w:rsidRPr="009010CE">
        <w:rPr>
          <w:rFonts w:ascii="Times New Roman" w:hAnsi="Times New Roman"/>
          <w:u w:val="single"/>
        </w:rPr>
        <w:t>Ośrodkowy układ nerwowy</w:t>
      </w:r>
    </w:p>
    <w:p w14:paraId="17323EEF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Należy zachować ostrożność u pacjentów z ciężkimi zaburzeniami psychicznymi, padaczką lub chorobą Parkinsona (patrz również punkt 4.8). </w:t>
      </w:r>
    </w:p>
    <w:p w14:paraId="7DA50D38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Podczas długotrw</w:t>
      </w:r>
      <w:r>
        <w:rPr>
          <w:rFonts w:ascii="Times New Roman" w:hAnsi="Times New Roman"/>
        </w:rPr>
        <w:t>ał</w:t>
      </w:r>
      <w:r w:rsidRPr="00633E42">
        <w:rPr>
          <w:rFonts w:ascii="Times New Roman" w:hAnsi="Times New Roman"/>
        </w:rPr>
        <w:t>ego (od 6 do 12 miesięcy) stosowania witaminy B</w:t>
      </w:r>
      <w:r w:rsidRPr="00982444">
        <w:rPr>
          <w:rFonts w:ascii="Times New Roman" w:hAnsi="Times New Roman"/>
          <w:vertAlign w:val="subscript"/>
        </w:rPr>
        <w:t>6</w:t>
      </w:r>
      <w:r w:rsidRPr="00633E42">
        <w:rPr>
          <w:rFonts w:ascii="Times New Roman" w:hAnsi="Times New Roman"/>
        </w:rPr>
        <w:t xml:space="preserve"> w dawce dobowej przekraczającej 50 mg oraz w czasie krótkotrw</w:t>
      </w:r>
      <w:r>
        <w:rPr>
          <w:rFonts w:ascii="Times New Roman" w:hAnsi="Times New Roman"/>
        </w:rPr>
        <w:t>ał</w:t>
      </w:r>
      <w:r w:rsidRPr="00633E42">
        <w:rPr>
          <w:rFonts w:ascii="Times New Roman" w:hAnsi="Times New Roman"/>
        </w:rPr>
        <w:t>ego (w ciągu 2 miesięcy) stosowania witaminy B</w:t>
      </w:r>
      <w:r w:rsidRPr="00982444">
        <w:rPr>
          <w:rFonts w:ascii="Times New Roman" w:hAnsi="Times New Roman"/>
          <w:vertAlign w:val="subscript"/>
        </w:rPr>
        <w:t>6</w:t>
      </w:r>
      <w:r w:rsidRPr="00633E42">
        <w:rPr>
          <w:rFonts w:ascii="Times New Roman" w:hAnsi="Times New Roman"/>
        </w:rPr>
        <w:t xml:space="preserve"> w dawce dobowej przekraczającej 1 g obserwowano neuropatie. Jeśli u pacjenta wystąpią oznaki lub objawy czuciowej neuropatii obwodowej (parestezja), należy rozważyć zmianę dawki i odstawienie produktu jeśli konieczne. </w:t>
      </w:r>
    </w:p>
    <w:p w14:paraId="3FF9189A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52319E24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</w:t>
      </w:r>
      <w:r w:rsidRPr="009010CE">
        <w:rPr>
          <w:rFonts w:ascii="Times New Roman" w:hAnsi="Times New Roman"/>
          <w:u w:val="single"/>
        </w:rPr>
        <w:t>stma</w:t>
      </w:r>
      <w:r>
        <w:rPr>
          <w:rFonts w:ascii="Times New Roman" w:hAnsi="Times New Roman"/>
          <w:u w:val="single"/>
        </w:rPr>
        <w:t xml:space="preserve">, </w:t>
      </w:r>
      <w:r w:rsidRPr="009010CE">
        <w:rPr>
          <w:rFonts w:ascii="Times New Roman" w:hAnsi="Times New Roman"/>
          <w:u w:val="single"/>
        </w:rPr>
        <w:t>nadwrażliwość</w:t>
      </w:r>
      <w:r>
        <w:rPr>
          <w:rFonts w:ascii="Times New Roman" w:hAnsi="Times New Roman"/>
          <w:u w:val="single"/>
        </w:rPr>
        <w:t xml:space="preserve">, </w:t>
      </w:r>
      <w:r w:rsidRPr="009010CE">
        <w:rPr>
          <w:rFonts w:ascii="Times New Roman" w:hAnsi="Times New Roman"/>
          <w:u w:val="single"/>
        </w:rPr>
        <w:t>układ odpornościowy</w:t>
      </w:r>
    </w:p>
    <w:p w14:paraId="548CAEE2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U pacjentów z astmą, sezonowym alergicznym nieżytem nosa, obrzękiem błony śluzowej nosa (polipy), przewlekłą obturacyjn</w:t>
      </w:r>
      <w:r>
        <w:rPr>
          <w:rFonts w:ascii="Times New Roman" w:hAnsi="Times New Roman"/>
        </w:rPr>
        <w:t>ą</w:t>
      </w:r>
      <w:r w:rsidRPr="00633E42">
        <w:rPr>
          <w:rFonts w:ascii="Times New Roman" w:hAnsi="Times New Roman"/>
        </w:rPr>
        <w:t xml:space="preserve"> chorobą płuc lub przewlekłymi infekcjami dróg oddechowych (szczególnie w powiązaniu z objawami podobnymi do alergicznego nieżytu nosa) reakcje na NLPZ jak zaostrzenia astmy (tzw. astma aspirynowa czyli nietolerancja na leki przeciwbólowe), obrzęk Quinckego lub pokrzywka występują częściej niż u innych pacjentów. Z tego powodu, u takich pacjentów należy zachować szczególną ostrożność (gotowość do udzielenia natychmiastowej pomocy medycznej). Dotyczy to również pacjentów, u których występuje alergia na inne substancje np. w postaci reakcji skórnych, wysypki czy pokrzywki. </w:t>
      </w:r>
    </w:p>
    <w:p w14:paraId="341DEBD8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7AED8BD7" w14:textId="3F4712E1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Tak jak w przypadku innych NLPZ reakcje alergiczne w tym reakcje anafilaktyczne i rzekomo-anafilaktyczne mogą wystąpić również u pacjentów, którzy wcześniej nie stosowali tego produkt</w:t>
      </w:r>
      <w:r>
        <w:rPr>
          <w:rFonts w:ascii="Times New Roman" w:hAnsi="Times New Roman"/>
        </w:rPr>
        <w:t>u</w:t>
      </w:r>
      <w:r w:rsidRPr="00633E42">
        <w:rPr>
          <w:rFonts w:ascii="Times New Roman" w:hAnsi="Times New Roman"/>
        </w:rPr>
        <w:t xml:space="preserve"> leczniczego.</w:t>
      </w:r>
      <w:r w:rsidR="00D70518">
        <w:rPr>
          <w:rFonts w:ascii="Times New Roman" w:hAnsi="Times New Roman"/>
        </w:rPr>
        <w:t xml:space="preserve"> </w:t>
      </w:r>
      <w:r w:rsidR="00F66A1F" w:rsidRPr="00F66A1F">
        <w:rPr>
          <w:rFonts w:ascii="Times New Roman" w:hAnsi="Times New Roman"/>
        </w:rPr>
        <w:t>Reakcje nadwrażliwości mogą także rozwinąć się w zespół Kounisa, ciężką reakcję alergiczną, która może prowadzić do zawału mięśnia sercowego. Objawy takich reakcji mogą obejmować ból w klatce piersiowej występujący w związku z reakcją alergiczną na diklofenak.</w:t>
      </w:r>
      <w:r w:rsidR="00F66A1F">
        <w:rPr>
          <w:rFonts w:ascii="Times New Roman" w:hAnsi="Times New Roman"/>
        </w:rPr>
        <w:t xml:space="preserve"> </w:t>
      </w:r>
      <w:r w:rsidRPr="00633E42">
        <w:rPr>
          <w:rFonts w:ascii="Times New Roman" w:hAnsi="Times New Roman"/>
        </w:rPr>
        <w:t xml:space="preserve">Należy uprzedzić pacjentów, że w przypadku wystąpienia reakcji nadwrażliwości takich jak obrzęk twarzy, obrzęk dróg oddechowych (np. obrzęk </w:t>
      </w:r>
      <w:r>
        <w:rPr>
          <w:rFonts w:ascii="Times New Roman" w:hAnsi="Times New Roman"/>
        </w:rPr>
        <w:t>gardła</w:t>
      </w:r>
      <w:r w:rsidRPr="00633E42">
        <w:rPr>
          <w:rFonts w:ascii="Times New Roman" w:hAnsi="Times New Roman"/>
        </w:rPr>
        <w:t>), trudności w oddychaniu, astma, przyspieszone bici</w:t>
      </w:r>
      <w:r>
        <w:rPr>
          <w:rFonts w:ascii="Times New Roman" w:hAnsi="Times New Roman"/>
        </w:rPr>
        <w:t>e</w:t>
      </w:r>
      <w:r w:rsidRPr="00633E42">
        <w:rPr>
          <w:rFonts w:ascii="Times New Roman" w:hAnsi="Times New Roman"/>
        </w:rPr>
        <w:t xml:space="preserve"> serca, reakcje skórne (rumień, wysypka, pokrzywka, świąd) i (lub) niedociśnienie, należy przerwać stosowanie produktu, który mógł spowodować te reakcje i bezzwłocznie poszukać pomocy lekarskiej.</w:t>
      </w:r>
    </w:p>
    <w:p w14:paraId="061AB729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49F163B4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Należy zachować szczególn</w:t>
      </w:r>
      <w:r>
        <w:rPr>
          <w:rFonts w:ascii="Times New Roman" w:hAnsi="Times New Roman"/>
        </w:rPr>
        <w:t>ą</w:t>
      </w:r>
      <w:r w:rsidRPr="00633E42">
        <w:rPr>
          <w:rFonts w:ascii="Times New Roman" w:hAnsi="Times New Roman"/>
        </w:rPr>
        <w:t xml:space="preserve"> ostrożność u pacjentów z toczniem rumieniowatym układowym i mieszaną chorobą tkanki łącznej. U pacjentów z tymi współistniejącymi chorobami, podczas leczenia NLPZ zgłaszano objawy aseptycznego zapalenia opon mózgowych z sztywnością karku, bólem głowy, nudnościami, wymiotami, gorączką i utratą świadomości (patrz punkt 4.8).</w:t>
      </w:r>
    </w:p>
    <w:p w14:paraId="4C8AD8FD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05B351A2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 w:rsidRPr="009010CE">
        <w:rPr>
          <w:rFonts w:ascii="Times New Roman" w:hAnsi="Times New Roman"/>
          <w:u w:val="single"/>
        </w:rPr>
        <w:t>Uwagi ogólne</w:t>
      </w:r>
    </w:p>
    <w:p w14:paraId="4B4F60A9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Z powodu swoich właściwości farmakodynamicznych, diklofenak – podobnie jak inne NLPZ</w:t>
      </w:r>
      <w:r>
        <w:rPr>
          <w:rFonts w:ascii="Times New Roman" w:hAnsi="Times New Roman"/>
        </w:rPr>
        <w:t xml:space="preserve"> </w:t>
      </w:r>
      <w:r w:rsidRPr="00633E42">
        <w:rPr>
          <w:rFonts w:ascii="Times New Roman" w:hAnsi="Times New Roman"/>
        </w:rPr>
        <w:t>- może maskować oznaki i objawy zakażenia (np. ból). Należy uprzedzić pacjentów o konieczności natychmiastowego zasięgnięcia porady lekarskiej</w:t>
      </w:r>
      <w:r>
        <w:rPr>
          <w:rFonts w:ascii="Times New Roman" w:hAnsi="Times New Roman"/>
        </w:rPr>
        <w:t>,</w:t>
      </w:r>
      <w:r w:rsidRPr="00633E42">
        <w:rPr>
          <w:rFonts w:ascii="Times New Roman" w:hAnsi="Times New Roman"/>
        </w:rPr>
        <w:t xml:space="preserve"> jeśli ból i inne objawy zapalenia utrzymują się lub nasilają, np. pogorszenie ogólnego stanu lub wystąpienie gorączki podczas leczenia. </w:t>
      </w:r>
    </w:p>
    <w:p w14:paraId="3F3BFEB3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7BA6E18E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i/>
        </w:rPr>
      </w:pPr>
      <w:r w:rsidRPr="009010CE">
        <w:rPr>
          <w:rFonts w:ascii="Times New Roman" w:hAnsi="Times New Roman"/>
          <w:i/>
        </w:rPr>
        <w:t>Bóle głowy wywołane lek</w:t>
      </w:r>
      <w:r>
        <w:rPr>
          <w:rFonts w:ascii="Times New Roman" w:hAnsi="Times New Roman"/>
          <w:i/>
        </w:rPr>
        <w:t>am</w:t>
      </w:r>
      <w:r w:rsidRPr="009010CE">
        <w:rPr>
          <w:rFonts w:ascii="Times New Roman" w:hAnsi="Times New Roman"/>
          <w:i/>
        </w:rPr>
        <w:t>i przeciwbólow</w:t>
      </w:r>
      <w:r>
        <w:rPr>
          <w:rFonts w:ascii="Times New Roman" w:hAnsi="Times New Roman"/>
          <w:i/>
        </w:rPr>
        <w:t>ymi</w:t>
      </w:r>
    </w:p>
    <w:p w14:paraId="4C27FE32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Wraz z przedłużającym się okresem stosowania leków przeciwbólowych w dużych dawkach lub niezgodnie z zaleceniami, mogą wystąpić bóle głowy, których nie należy leczyć zwiększając dawkę produktu leczniczego. Należy poinformować pacjenta o takiej możliwości.</w:t>
      </w:r>
    </w:p>
    <w:p w14:paraId="354F9683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494DEAF8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i/>
        </w:rPr>
      </w:pPr>
      <w:r w:rsidRPr="009010CE">
        <w:rPr>
          <w:rFonts w:ascii="Times New Roman" w:hAnsi="Times New Roman"/>
          <w:i/>
        </w:rPr>
        <w:t>Ne</w:t>
      </w:r>
      <w:r>
        <w:rPr>
          <w:rFonts w:ascii="Times New Roman" w:hAnsi="Times New Roman"/>
          <w:i/>
        </w:rPr>
        <w:t>f</w:t>
      </w:r>
      <w:r w:rsidRPr="009010CE">
        <w:rPr>
          <w:rFonts w:ascii="Times New Roman" w:hAnsi="Times New Roman"/>
          <w:i/>
        </w:rPr>
        <w:t>ropatia</w:t>
      </w:r>
    </w:p>
    <w:p w14:paraId="4D3BFB98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Przewlekłe stosowanie leków przeciwbólowych, a zwłaszcza kilku różnych produktów o różnych substancjach czynnych, może prowadzić do stałego uszkodzenia nerek prowadzącego do niewydolności nerek. Należy poinformować pacjenta o takiej możliwości. </w:t>
      </w:r>
    </w:p>
    <w:p w14:paraId="112FC559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70B2939D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 w:rsidRPr="009010CE">
        <w:rPr>
          <w:rFonts w:ascii="Times New Roman" w:hAnsi="Times New Roman"/>
          <w:u w:val="single"/>
        </w:rPr>
        <w:t>Badania laboratoryjne</w:t>
      </w:r>
    </w:p>
    <w:p w14:paraId="0DD5D54A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W zależności od czasu trwania leczenia diklofenakiem, może być wskazane przeprowadzenie następujących badań: jonogram, badanie równowagi kwasowo-zasadowej, bilans płynów, aktywność enzymów wątrobowych, czynność nerek, morfologia krwi oraz testy krzepnięcia</w:t>
      </w:r>
      <w:r>
        <w:rPr>
          <w:rFonts w:ascii="Times New Roman" w:hAnsi="Times New Roman"/>
        </w:rPr>
        <w:t xml:space="preserve"> i</w:t>
      </w:r>
      <w:r w:rsidRPr="00633E42">
        <w:rPr>
          <w:rFonts w:ascii="Times New Roman" w:hAnsi="Times New Roman"/>
        </w:rPr>
        <w:t xml:space="preserve"> krew utajon</w:t>
      </w:r>
      <w:r>
        <w:rPr>
          <w:rFonts w:ascii="Times New Roman" w:hAnsi="Times New Roman"/>
        </w:rPr>
        <w:t>ą</w:t>
      </w:r>
      <w:r w:rsidRPr="00633E42">
        <w:rPr>
          <w:rFonts w:ascii="Times New Roman" w:hAnsi="Times New Roman"/>
        </w:rPr>
        <w:t xml:space="preserve"> w kale.</w:t>
      </w:r>
    </w:p>
    <w:p w14:paraId="5F64370C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22A0A5EC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Jeśli jednocześnie stosowane są doustne leki przeciwcukrzycowe</w:t>
      </w:r>
      <w:r>
        <w:rPr>
          <w:rFonts w:ascii="Times New Roman" w:hAnsi="Times New Roman"/>
        </w:rPr>
        <w:t>,</w:t>
      </w:r>
      <w:r w:rsidRPr="00633E42">
        <w:rPr>
          <w:rFonts w:ascii="Times New Roman" w:hAnsi="Times New Roman"/>
        </w:rPr>
        <w:t xml:space="preserve"> należy monitorować stężenie glukozy we krwi. </w:t>
      </w:r>
    </w:p>
    <w:p w14:paraId="080A0B0E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Jeśli jednocześnie stosowane są leki moczopędne oszczędzające potas, należy monitorować stężenie potasu.</w:t>
      </w:r>
    </w:p>
    <w:p w14:paraId="0456D408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Jeśli jednocześnie stosowane są leki przeciwzakrzepowe, należy monitorować parametry krzepliwości.</w:t>
      </w:r>
    </w:p>
    <w:p w14:paraId="1210F660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2FC86E95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Stosowanie produktów zawierających witaminę B</w:t>
      </w:r>
      <w:r w:rsidRPr="009010CE">
        <w:rPr>
          <w:rFonts w:ascii="Times New Roman" w:hAnsi="Times New Roman"/>
          <w:vertAlign w:val="subscript"/>
        </w:rPr>
        <w:t>12</w:t>
      </w:r>
      <w:r w:rsidRPr="00633E42">
        <w:rPr>
          <w:rFonts w:ascii="Times New Roman" w:hAnsi="Times New Roman"/>
        </w:rPr>
        <w:t xml:space="preserve"> może ukryć obraz kliniczny i </w:t>
      </w:r>
      <w:r>
        <w:rPr>
          <w:rFonts w:ascii="Times New Roman" w:hAnsi="Times New Roman"/>
        </w:rPr>
        <w:t xml:space="preserve">wyniki </w:t>
      </w:r>
      <w:r w:rsidRPr="00633E42">
        <w:rPr>
          <w:rFonts w:ascii="Times New Roman" w:hAnsi="Times New Roman"/>
        </w:rPr>
        <w:t>bada</w:t>
      </w:r>
      <w:r>
        <w:rPr>
          <w:rFonts w:ascii="Times New Roman" w:hAnsi="Times New Roman"/>
        </w:rPr>
        <w:t>ń</w:t>
      </w:r>
      <w:r w:rsidRPr="00633E42">
        <w:rPr>
          <w:rFonts w:ascii="Times New Roman" w:hAnsi="Times New Roman"/>
        </w:rPr>
        <w:t xml:space="preserve"> laboratoryj</w:t>
      </w:r>
      <w:r>
        <w:rPr>
          <w:rFonts w:ascii="Times New Roman" w:hAnsi="Times New Roman"/>
        </w:rPr>
        <w:t>nych</w:t>
      </w:r>
      <w:r w:rsidRPr="00633E42">
        <w:rPr>
          <w:rFonts w:ascii="Times New Roman" w:hAnsi="Times New Roman"/>
        </w:rPr>
        <w:t xml:space="preserve"> wskazujące na powrózkowe zwyrodnienia rdzenia</w:t>
      </w:r>
      <w:r>
        <w:rPr>
          <w:rFonts w:ascii="Times New Roman" w:hAnsi="Times New Roman"/>
        </w:rPr>
        <w:t xml:space="preserve"> kręgowego</w:t>
      </w:r>
      <w:r w:rsidRPr="00633E42">
        <w:rPr>
          <w:rFonts w:ascii="Times New Roman" w:hAnsi="Times New Roman"/>
        </w:rPr>
        <w:t xml:space="preserve"> i anemię złośliwą.</w:t>
      </w:r>
    </w:p>
    <w:p w14:paraId="37471C53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3E167FF5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W celu uzyskania dalszych informacji patrz punkt 4.5.</w:t>
      </w:r>
    </w:p>
    <w:p w14:paraId="0037B1C0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73AABAC2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Informacje dotyczące płodności u kobiet, patrz punkt 4.6.</w:t>
      </w:r>
    </w:p>
    <w:p w14:paraId="77CBA487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  <w:b/>
        </w:rPr>
      </w:pPr>
    </w:p>
    <w:p w14:paraId="5A73C79A" w14:textId="77777777" w:rsidR="002E1BB7" w:rsidRPr="00633E42" w:rsidRDefault="002E1BB7" w:rsidP="00FE285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Interakcje z innymi produktami leczniczymi i inne rodzaje interakcji</w:t>
      </w:r>
    </w:p>
    <w:p w14:paraId="26BD42D4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E1BB7" w:rsidRPr="004121D7" w14:paraId="5FD95AB2" w14:textId="77777777" w:rsidTr="004121D7">
        <w:tc>
          <w:tcPr>
            <w:tcW w:w="4606" w:type="dxa"/>
          </w:tcPr>
          <w:p w14:paraId="45B9775D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1D7">
              <w:rPr>
                <w:rFonts w:ascii="Times New Roman" w:hAnsi="Times New Roman"/>
                <w:b/>
              </w:rPr>
              <w:t>Jednoczesne stosowanie diklofenaku z:</w:t>
            </w:r>
          </w:p>
        </w:tc>
        <w:tc>
          <w:tcPr>
            <w:tcW w:w="4606" w:type="dxa"/>
          </w:tcPr>
          <w:p w14:paraId="7724F509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1D7">
              <w:rPr>
                <w:rFonts w:ascii="Times New Roman" w:hAnsi="Times New Roman"/>
                <w:b/>
              </w:rPr>
              <w:t>Mogą wystąpić następujące działania niepożądane:</w:t>
            </w:r>
          </w:p>
        </w:tc>
      </w:tr>
      <w:tr w:rsidR="002E1BB7" w:rsidRPr="004121D7" w14:paraId="28474C5B" w14:textId="77777777" w:rsidTr="004121D7">
        <w:tc>
          <w:tcPr>
            <w:tcW w:w="4606" w:type="dxa"/>
          </w:tcPr>
          <w:p w14:paraId="30794564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Kwas acetylosalicylowy</w:t>
            </w:r>
          </w:p>
        </w:tc>
        <w:tc>
          <w:tcPr>
            <w:tcW w:w="4606" w:type="dxa"/>
          </w:tcPr>
          <w:p w14:paraId="3767E84B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 xml:space="preserve">Wzajemne działanie zmniejszające stężenie w surowicy i dodatkowo ryzyko uszkodzenia układu </w:t>
            </w:r>
            <w:r>
              <w:rPr>
                <w:rFonts w:ascii="Times New Roman" w:hAnsi="Times New Roman"/>
              </w:rPr>
              <w:t>pokarmowego</w:t>
            </w:r>
            <w:r w:rsidRPr="004121D7">
              <w:rPr>
                <w:rFonts w:ascii="Times New Roman" w:hAnsi="Times New Roman"/>
              </w:rPr>
              <w:t xml:space="preserve"> (skojarzenie niewskazane)</w:t>
            </w:r>
          </w:p>
        </w:tc>
      </w:tr>
      <w:tr w:rsidR="002E1BB7" w:rsidRPr="004121D7" w14:paraId="1076F457" w14:textId="77777777" w:rsidTr="004121D7">
        <w:tc>
          <w:tcPr>
            <w:tcW w:w="4606" w:type="dxa"/>
          </w:tcPr>
          <w:p w14:paraId="524900FF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Alkohol</w:t>
            </w:r>
          </w:p>
        </w:tc>
        <w:tc>
          <w:tcPr>
            <w:tcW w:w="4606" w:type="dxa"/>
          </w:tcPr>
          <w:p w14:paraId="55B80A7B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Zwiększone ryzyko zaostrzenia krwawienia z przewodu pokarmowego (należy unikać tego skojarzenia)</w:t>
            </w:r>
          </w:p>
        </w:tc>
      </w:tr>
      <w:tr w:rsidR="002E1BB7" w:rsidRPr="004121D7" w14:paraId="54378AC7" w14:textId="77777777" w:rsidTr="004121D7">
        <w:tc>
          <w:tcPr>
            <w:tcW w:w="4606" w:type="dxa"/>
          </w:tcPr>
          <w:p w14:paraId="3E887769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Leki przeciwzakrzepowe i przeciwpłytkowe</w:t>
            </w:r>
          </w:p>
        </w:tc>
        <w:tc>
          <w:tcPr>
            <w:tcW w:w="4606" w:type="dxa"/>
          </w:tcPr>
          <w:p w14:paraId="1459CDC4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982444">
              <w:rPr>
                <w:rFonts w:ascii="Times New Roman" w:hAnsi="Times New Roman"/>
              </w:rPr>
              <w:t xml:space="preserve">Należy zachować ostrożność, </w:t>
            </w:r>
            <w:r>
              <w:rPr>
                <w:rFonts w:ascii="Times New Roman" w:hAnsi="Times New Roman"/>
              </w:rPr>
              <w:t>ze względu na</w:t>
            </w:r>
            <w:r w:rsidRPr="00982444">
              <w:rPr>
                <w:rFonts w:ascii="Times New Roman" w:hAnsi="Times New Roman"/>
              </w:rPr>
              <w:t xml:space="preserve"> zwiększ</w:t>
            </w:r>
            <w:r>
              <w:rPr>
                <w:rFonts w:ascii="Times New Roman" w:hAnsi="Times New Roman"/>
              </w:rPr>
              <w:t>one</w:t>
            </w:r>
            <w:r w:rsidRPr="00982444">
              <w:rPr>
                <w:rFonts w:ascii="Times New Roman" w:hAnsi="Times New Roman"/>
              </w:rPr>
              <w:t xml:space="preserve"> ryzyko krwawie</w:t>
            </w:r>
            <w:r>
              <w:rPr>
                <w:rFonts w:ascii="Times New Roman" w:hAnsi="Times New Roman"/>
              </w:rPr>
              <w:t>nia</w:t>
            </w:r>
            <w:r w:rsidRPr="0098244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Wprawdzie</w:t>
            </w:r>
            <w:r w:rsidRPr="00982444">
              <w:rPr>
                <w:rFonts w:ascii="Times New Roman" w:hAnsi="Times New Roman"/>
              </w:rPr>
              <w:t xml:space="preserve"> badania kliniczne nie wskazują, aby diklofenak wpływał na działanie leków przeciwzakrzepowych, </w:t>
            </w:r>
            <w:r>
              <w:rPr>
                <w:rFonts w:ascii="Times New Roman" w:hAnsi="Times New Roman"/>
              </w:rPr>
              <w:t>jednak</w:t>
            </w:r>
            <w:r w:rsidRPr="00982444">
              <w:rPr>
                <w:rFonts w:ascii="Times New Roman" w:hAnsi="Times New Roman"/>
              </w:rPr>
              <w:t xml:space="preserve"> don</w:t>
            </w:r>
            <w:r>
              <w:rPr>
                <w:rFonts w:ascii="Times New Roman" w:hAnsi="Times New Roman"/>
              </w:rPr>
              <w:t>oszono</w:t>
            </w:r>
            <w:r w:rsidRPr="00982444">
              <w:rPr>
                <w:rFonts w:ascii="Times New Roman" w:hAnsi="Times New Roman"/>
              </w:rPr>
              <w:t xml:space="preserve"> o zwiększonym ryzyku krwotoku </w:t>
            </w:r>
            <w:r>
              <w:rPr>
                <w:rFonts w:ascii="Times New Roman" w:hAnsi="Times New Roman"/>
              </w:rPr>
              <w:t>u pacjentów przyjmujących jednocześnie diklofenak </w:t>
            </w:r>
            <w:r w:rsidRPr="00982444">
              <w:rPr>
                <w:rFonts w:ascii="Times New Roman" w:hAnsi="Times New Roman"/>
              </w:rPr>
              <w:t>i lek</w:t>
            </w:r>
            <w:r>
              <w:rPr>
                <w:rFonts w:ascii="Times New Roman" w:hAnsi="Times New Roman"/>
              </w:rPr>
              <w:t>i</w:t>
            </w:r>
            <w:r w:rsidRPr="00982444">
              <w:rPr>
                <w:rFonts w:ascii="Times New Roman" w:hAnsi="Times New Roman"/>
              </w:rPr>
              <w:t xml:space="preserve"> przeciwzakrzepow</w:t>
            </w:r>
            <w:r>
              <w:rPr>
                <w:rFonts w:ascii="Times New Roman" w:hAnsi="Times New Roman"/>
              </w:rPr>
              <w:t>e</w:t>
            </w:r>
            <w:r w:rsidRPr="0098244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Pacjentów</w:t>
            </w:r>
            <w:r w:rsidRPr="00982444">
              <w:rPr>
                <w:rFonts w:ascii="Times New Roman" w:hAnsi="Times New Roman"/>
              </w:rPr>
              <w:t xml:space="preserve"> t</w:t>
            </w:r>
            <w:r>
              <w:rPr>
                <w:rFonts w:ascii="Times New Roman" w:hAnsi="Times New Roman"/>
              </w:rPr>
              <w:t>akich należy</w:t>
            </w:r>
            <w:r w:rsidRPr="009824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uważnie</w:t>
            </w:r>
            <w:r w:rsidRPr="00982444">
              <w:rPr>
                <w:rFonts w:ascii="Times New Roman" w:hAnsi="Times New Roman"/>
              </w:rPr>
              <w:t xml:space="preserve"> kontrol</w:t>
            </w:r>
            <w:r>
              <w:rPr>
                <w:rFonts w:ascii="Times New Roman" w:hAnsi="Times New Roman"/>
              </w:rPr>
              <w:t>ować</w:t>
            </w:r>
            <w:r w:rsidRPr="002950FB">
              <w:t>.</w:t>
            </w:r>
          </w:p>
        </w:tc>
      </w:tr>
      <w:tr w:rsidR="002E1BB7" w:rsidRPr="004121D7" w14:paraId="013923A5" w14:textId="77777777" w:rsidTr="004121D7">
        <w:tc>
          <w:tcPr>
            <w:tcW w:w="4606" w:type="dxa"/>
          </w:tcPr>
          <w:p w14:paraId="71D3E56F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Doustne leki przeciwcukrzycowe</w:t>
            </w:r>
          </w:p>
        </w:tc>
        <w:tc>
          <w:tcPr>
            <w:tcW w:w="4606" w:type="dxa"/>
          </w:tcPr>
          <w:p w14:paraId="6915B7CD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Możliwe są zmiany stężenia glukozy we krwi (zalecany jest częsty monitoring)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E1BB7" w:rsidRPr="004121D7" w14:paraId="7E766616" w14:textId="77777777" w:rsidTr="004121D7">
        <w:tc>
          <w:tcPr>
            <w:tcW w:w="4606" w:type="dxa"/>
          </w:tcPr>
          <w:p w14:paraId="08192133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Glikozydy nasercowe (np. digoksyna)</w:t>
            </w:r>
          </w:p>
        </w:tc>
        <w:tc>
          <w:tcPr>
            <w:tcW w:w="4606" w:type="dxa"/>
          </w:tcPr>
          <w:p w14:paraId="471B541B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Zwiększone stężenie digoksyny we krwi – zalecany jest odpowiedni monitoring i</w:t>
            </w:r>
            <w:r>
              <w:rPr>
                <w:rFonts w:ascii="Times New Roman" w:hAnsi="Times New Roman"/>
              </w:rPr>
              <w:t>,</w:t>
            </w:r>
            <w:r w:rsidRPr="004121D7">
              <w:rPr>
                <w:rFonts w:ascii="Times New Roman" w:hAnsi="Times New Roman"/>
              </w:rPr>
              <w:t xml:space="preserve"> jeśli wskazane, dostosowanie dawki.</w:t>
            </w:r>
          </w:p>
        </w:tc>
      </w:tr>
      <w:tr w:rsidR="002E1BB7" w:rsidRPr="004121D7" w14:paraId="190CE545" w14:textId="77777777" w:rsidTr="004121D7">
        <w:tc>
          <w:tcPr>
            <w:tcW w:w="4606" w:type="dxa"/>
          </w:tcPr>
          <w:p w14:paraId="1F374D16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Cyklosporyna</w:t>
            </w:r>
          </w:p>
        </w:tc>
        <w:tc>
          <w:tcPr>
            <w:tcW w:w="4606" w:type="dxa"/>
          </w:tcPr>
          <w:p w14:paraId="2794F878" w14:textId="45B4B9DE" w:rsidR="002E1BB7" w:rsidRPr="004121D7" w:rsidRDefault="002E1BB7" w:rsidP="00572369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 xml:space="preserve">Hiperkaliemia, zwiększone ryzyko toksycznego wpływu </w:t>
            </w:r>
            <w:r>
              <w:rPr>
                <w:rFonts w:ascii="Times New Roman" w:hAnsi="Times New Roman"/>
              </w:rPr>
              <w:t>na układ pokarmowy</w:t>
            </w:r>
            <w:r w:rsidRPr="004121D7">
              <w:rPr>
                <w:rFonts w:ascii="Times New Roman" w:hAnsi="Times New Roman"/>
              </w:rPr>
              <w:t xml:space="preserve">, wątrobę i nerki (zaleca się unikanie tego skojarzenia lub zmniejszenie dawki diklofenaku; zaleca się monitoring czynności wątroby i nerek) </w:t>
            </w:r>
          </w:p>
        </w:tc>
      </w:tr>
      <w:tr w:rsidR="002E1BB7" w:rsidRPr="004121D7" w14:paraId="6BEB70AA" w14:textId="77777777" w:rsidTr="004121D7">
        <w:tc>
          <w:tcPr>
            <w:tcW w:w="4606" w:type="dxa"/>
          </w:tcPr>
          <w:p w14:paraId="1EC43B18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Cholestyramina, kolestypol</w:t>
            </w:r>
          </w:p>
        </w:tc>
        <w:tc>
          <w:tcPr>
            <w:tcW w:w="4606" w:type="dxa"/>
          </w:tcPr>
          <w:p w14:paraId="691BD5F1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Opóźnienie lub zmniejszenie wchłaniania diklofenaku; diklofenak należy przyjmować 1 godzinę przed lub 4 do 6 godzin po zastosowaniu cholestyraminy</w:t>
            </w:r>
            <w:r>
              <w:rPr>
                <w:rFonts w:ascii="Times New Roman" w:hAnsi="Times New Roman"/>
              </w:rPr>
              <w:t xml:space="preserve"> lub </w:t>
            </w:r>
            <w:r w:rsidRPr="004121D7">
              <w:rPr>
                <w:rFonts w:ascii="Times New Roman" w:hAnsi="Times New Roman"/>
              </w:rPr>
              <w:t>kolestypolu.</w:t>
            </w:r>
          </w:p>
        </w:tc>
      </w:tr>
      <w:tr w:rsidR="002E1BB7" w:rsidRPr="004121D7" w14:paraId="05DB56FF" w14:textId="77777777" w:rsidTr="004121D7">
        <w:tc>
          <w:tcPr>
            <w:tcW w:w="4606" w:type="dxa"/>
          </w:tcPr>
          <w:p w14:paraId="424E1C19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Kortykosteroidy</w:t>
            </w:r>
          </w:p>
        </w:tc>
        <w:tc>
          <w:tcPr>
            <w:tcW w:w="4606" w:type="dxa"/>
          </w:tcPr>
          <w:p w14:paraId="4998CC1D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 xml:space="preserve">Zwiększone ryzyko wystąpienia choroby </w:t>
            </w:r>
            <w:r w:rsidRPr="004121D7">
              <w:rPr>
                <w:rFonts w:ascii="Times New Roman" w:hAnsi="Times New Roman"/>
              </w:rPr>
              <w:lastRenderedPageBreak/>
              <w:t>wrzodowej układu pokarmowego lub krwawienia (patrz punkt 4.4)</w:t>
            </w:r>
          </w:p>
        </w:tc>
      </w:tr>
      <w:tr w:rsidR="002E1BB7" w:rsidRPr="004121D7" w14:paraId="5D18CACB" w14:textId="77777777" w:rsidTr="004121D7">
        <w:tc>
          <w:tcPr>
            <w:tcW w:w="4606" w:type="dxa"/>
          </w:tcPr>
          <w:p w14:paraId="4AA51BAD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lastRenderedPageBreak/>
              <w:t>Silne inhibitory CYP2C9 (jak sulfinpirazon i worykonazol)</w:t>
            </w:r>
          </w:p>
        </w:tc>
        <w:tc>
          <w:tcPr>
            <w:tcW w:w="4606" w:type="dxa"/>
          </w:tcPr>
          <w:p w14:paraId="3B2387AD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 xml:space="preserve">Znaczące zwiększenie </w:t>
            </w:r>
            <w:r>
              <w:rPr>
                <w:rFonts w:ascii="Times New Roman" w:hAnsi="Times New Roman"/>
              </w:rPr>
              <w:t>s</w:t>
            </w:r>
            <w:r w:rsidRPr="004121D7">
              <w:rPr>
                <w:rFonts w:ascii="Times New Roman" w:hAnsi="Times New Roman"/>
              </w:rPr>
              <w:t>tężenia diklofenaku w</w:t>
            </w:r>
            <w:r>
              <w:rPr>
                <w:rFonts w:ascii="Times New Roman" w:hAnsi="Times New Roman"/>
              </w:rPr>
              <w:t>e krwi</w:t>
            </w:r>
            <w:r w:rsidRPr="004121D7">
              <w:rPr>
                <w:rFonts w:ascii="Times New Roman" w:hAnsi="Times New Roman"/>
              </w:rPr>
              <w:t xml:space="preserve"> z powodu zahamowania metabolizmu diklofenaku (zalecane zmniejszenie dawki diklofenaku i monitoring)</w:t>
            </w:r>
          </w:p>
        </w:tc>
      </w:tr>
      <w:tr w:rsidR="002E1BB7" w:rsidRPr="004121D7" w14:paraId="7833608D" w14:textId="77777777" w:rsidTr="004121D7">
        <w:tc>
          <w:tcPr>
            <w:tcW w:w="4606" w:type="dxa"/>
          </w:tcPr>
          <w:p w14:paraId="1B28AA83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 xml:space="preserve">Leki moczopędne lub przeciwnadciśnieniowe (np. </w:t>
            </w:r>
            <w:r>
              <w:rPr>
                <w:rFonts w:ascii="Times New Roman" w:hAnsi="Times New Roman"/>
              </w:rPr>
              <w:t xml:space="preserve">leki </w:t>
            </w:r>
            <w:r w:rsidRPr="004121D7">
              <w:rPr>
                <w:rFonts w:ascii="Times New Roman" w:hAnsi="Times New Roman"/>
              </w:rPr>
              <w:t>beta-</w:t>
            </w:r>
            <w:r>
              <w:rPr>
                <w:rFonts w:ascii="Times New Roman" w:hAnsi="Times New Roman"/>
              </w:rPr>
              <w:t>adrenolityczne</w:t>
            </w:r>
            <w:r w:rsidRPr="004121D7">
              <w:rPr>
                <w:rFonts w:ascii="Times New Roman" w:hAnsi="Times New Roman"/>
              </w:rPr>
              <w:t>, inhibitory ACE)</w:t>
            </w:r>
          </w:p>
        </w:tc>
        <w:tc>
          <w:tcPr>
            <w:tcW w:w="4606" w:type="dxa"/>
          </w:tcPr>
          <w:p w14:paraId="02221220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Patrz punkt 4.4;</w:t>
            </w:r>
          </w:p>
          <w:p w14:paraId="701E0161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Tak jak w przypadku innych NLPZ,</w:t>
            </w:r>
            <w:r>
              <w:rPr>
                <w:rFonts w:ascii="Times New Roman" w:hAnsi="Times New Roman"/>
              </w:rPr>
              <w:t xml:space="preserve"> </w:t>
            </w:r>
            <w:r w:rsidRPr="004121D7">
              <w:rPr>
                <w:rFonts w:ascii="Times New Roman" w:hAnsi="Times New Roman"/>
              </w:rPr>
              <w:t>możliwe jest osłabienie działania</w:t>
            </w:r>
            <w:r>
              <w:rPr>
                <w:rFonts w:ascii="Times New Roman" w:hAnsi="Times New Roman"/>
              </w:rPr>
              <w:t xml:space="preserve"> </w:t>
            </w:r>
            <w:r w:rsidRPr="004121D7">
              <w:rPr>
                <w:rFonts w:ascii="Times New Roman" w:hAnsi="Times New Roman"/>
              </w:rPr>
              <w:t>przeciwnadciśnieniowego (zalecany jest częstszy monitoring ciśnienia krwi, szczególnie u pacjentów w podeszłym wieku). Zwiększone ryzyko toksycznego wpływu na nerki z uwagi na zahamowanie cyklooksygenazy (może wystąpić ciężka niewydolność nerek, szczególnie u pacjentów odwodnionych – zaleca się monitoring czynności nerek, konieczne jest nawodnienie!).</w:t>
            </w:r>
          </w:p>
          <w:p w14:paraId="4A27E971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Patrz również w punkcie „leki moczopędne oszczędzające potas”.</w:t>
            </w:r>
          </w:p>
        </w:tc>
      </w:tr>
      <w:tr w:rsidR="002E1BB7" w:rsidRPr="004121D7" w14:paraId="54E4BCF6" w14:textId="77777777" w:rsidTr="004121D7">
        <w:tc>
          <w:tcPr>
            <w:tcW w:w="4606" w:type="dxa"/>
          </w:tcPr>
          <w:p w14:paraId="660BEC85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Leki moczopędne oszczędzające potas</w:t>
            </w:r>
          </w:p>
        </w:tc>
        <w:tc>
          <w:tcPr>
            <w:tcW w:w="4606" w:type="dxa"/>
          </w:tcPr>
          <w:p w14:paraId="727D8859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Nasilone działanie i ryzyko wystąpienia hiperkaliemii (zalecany jest monitoring ciśnienia krwi i stężenia potasu)</w:t>
            </w:r>
          </w:p>
        </w:tc>
      </w:tr>
      <w:tr w:rsidR="002E1BB7" w:rsidRPr="004121D7" w14:paraId="41B53BCD" w14:textId="77777777" w:rsidTr="004121D7">
        <w:tc>
          <w:tcPr>
            <w:tcW w:w="4606" w:type="dxa"/>
          </w:tcPr>
          <w:p w14:paraId="6632024E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Lit</w:t>
            </w:r>
          </w:p>
        </w:tc>
        <w:tc>
          <w:tcPr>
            <w:tcW w:w="4606" w:type="dxa"/>
          </w:tcPr>
          <w:p w14:paraId="278F5B7B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Zwiększenie stężenia litu w osoczu – zalecany jest monitoring i</w:t>
            </w:r>
            <w:r>
              <w:rPr>
                <w:rFonts w:ascii="Times New Roman" w:hAnsi="Times New Roman"/>
              </w:rPr>
              <w:t>,</w:t>
            </w:r>
            <w:r w:rsidRPr="004121D7">
              <w:rPr>
                <w:rFonts w:ascii="Times New Roman" w:hAnsi="Times New Roman"/>
              </w:rPr>
              <w:t xml:space="preserve"> jeśli konieczne, dostosowanie dawki.</w:t>
            </w:r>
          </w:p>
        </w:tc>
      </w:tr>
      <w:tr w:rsidR="002E1BB7" w:rsidRPr="004121D7" w14:paraId="723EB631" w14:textId="77777777" w:rsidTr="004121D7">
        <w:tc>
          <w:tcPr>
            <w:tcW w:w="4606" w:type="dxa"/>
          </w:tcPr>
          <w:p w14:paraId="60C3F133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Moklobemid</w:t>
            </w:r>
          </w:p>
        </w:tc>
        <w:tc>
          <w:tcPr>
            <w:tcW w:w="4606" w:type="dxa"/>
          </w:tcPr>
          <w:p w14:paraId="5809278A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Nasilenie działania diklofenaku</w:t>
            </w:r>
          </w:p>
        </w:tc>
      </w:tr>
      <w:tr w:rsidR="002E1BB7" w:rsidRPr="004121D7" w14:paraId="4A489B21" w14:textId="77777777" w:rsidTr="004121D7">
        <w:tc>
          <w:tcPr>
            <w:tcW w:w="4606" w:type="dxa"/>
          </w:tcPr>
          <w:p w14:paraId="6AE06691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Metotreksat</w:t>
            </w:r>
          </w:p>
        </w:tc>
        <w:tc>
          <w:tcPr>
            <w:tcW w:w="4606" w:type="dxa"/>
          </w:tcPr>
          <w:p w14:paraId="3DCBB0C0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Diklofenak może hamować klirens nerkowy w kanalikach nerkowych. Zalecana jest ostrożność</w:t>
            </w:r>
            <w:r>
              <w:rPr>
                <w:rFonts w:ascii="Times New Roman" w:hAnsi="Times New Roman"/>
              </w:rPr>
              <w:t>,</w:t>
            </w:r>
            <w:r w:rsidRPr="004121D7">
              <w:rPr>
                <w:rFonts w:ascii="Times New Roman" w:hAnsi="Times New Roman"/>
              </w:rPr>
              <w:t xml:space="preserve"> jeśli NLPZ stosowany jest mniej niż 24 godziny przed lub po zastosowaniu metotreksatu; stężenie metotreksatu we krwi może wzrosnąć i zwiększyć swoją toksyczność. </w:t>
            </w:r>
          </w:p>
        </w:tc>
      </w:tr>
      <w:tr w:rsidR="002E1BB7" w:rsidRPr="004121D7" w14:paraId="632340C6" w14:textId="77777777" w:rsidTr="004121D7">
        <w:tc>
          <w:tcPr>
            <w:tcW w:w="4606" w:type="dxa"/>
          </w:tcPr>
          <w:p w14:paraId="5E74119C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Inne NLPZ</w:t>
            </w:r>
          </w:p>
        </w:tc>
        <w:tc>
          <w:tcPr>
            <w:tcW w:w="4606" w:type="dxa"/>
          </w:tcPr>
          <w:p w14:paraId="25D47899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Nasilenie działań niepożądanych, w szczególności zwiększenie ryzyka owrzodzenia układu pokarmowego lub krwawienia, patrz punkt 4.4 (skojarzenia niezalecane)</w:t>
            </w:r>
          </w:p>
        </w:tc>
      </w:tr>
      <w:tr w:rsidR="002E1BB7" w:rsidRPr="004121D7" w14:paraId="598255C7" w14:textId="77777777" w:rsidTr="004121D7">
        <w:tc>
          <w:tcPr>
            <w:tcW w:w="4606" w:type="dxa"/>
          </w:tcPr>
          <w:p w14:paraId="5A78D8CD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Fenytoina</w:t>
            </w:r>
          </w:p>
        </w:tc>
        <w:tc>
          <w:tcPr>
            <w:tcW w:w="4606" w:type="dxa"/>
          </w:tcPr>
          <w:p w14:paraId="69220763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Zalecany monitoring stężenia fenytoiny w</w:t>
            </w:r>
            <w:r>
              <w:rPr>
                <w:rFonts w:ascii="Times New Roman" w:hAnsi="Times New Roman"/>
              </w:rPr>
              <w:t>e krwi</w:t>
            </w:r>
            <w:r w:rsidRPr="004121D7">
              <w:rPr>
                <w:rFonts w:ascii="Times New Roman" w:hAnsi="Times New Roman"/>
              </w:rPr>
              <w:t xml:space="preserve"> z uwagi na możliwy wzrost stężenia</w:t>
            </w:r>
            <w:r>
              <w:rPr>
                <w:rFonts w:ascii="Times New Roman" w:hAnsi="Times New Roman"/>
              </w:rPr>
              <w:t xml:space="preserve"> i,</w:t>
            </w:r>
            <w:r w:rsidRPr="004121D7">
              <w:rPr>
                <w:rFonts w:ascii="Times New Roman" w:hAnsi="Times New Roman"/>
              </w:rPr>
              <w:t xml:space="preserve"> jeśli konieczne, należy dostosować dawkę.</w:t>
            </w:r>
          </w:p>
        </w:tc>
      </w:tr>
      <w:tr w:rsidR="002E1BB7" w:rsidRPr="004121D7" w14:paraId="16C41AB2" w14:textId="77777777" w:rsidTr="004121D7">
        <w:tc>
          <w:tcPr>
            <w:tcW w:w="4606" w:type="dxa"/>
          </w:tcPr>
          <w:p w14:paraId="782193F3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Chinolony</w:t>
            </w:r>
          </w:p>
        </w:tc>
        <w:tc>
          <w:tcPr>
            <w:tcW w:w="4606" w:type="dxa"/>
          </w:tcPr>
          <w:p w14:paraId="3B35B741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Zgłaszano drgawki (skojarzenia niezalecane)</w:t>
            </w:r>
          </w:p>
        </w:tc>
      </w:tr>
      <w:tr w:rsidR="002E1BB7" w:rsidRPr="004121D7" w14:paraId="06D2AE40" w14:textId="77777777" w:rsidTr="00832094">
        <w:tc>
          <w:tcPr>
            <w:tcW w:w="4606" w:type="dxa"/>
          </w:tcPr>
          <w:p w14:paraId="7C40EF95" w14:textId="77777777" w:rsidR="002E1BB7" w:rsidRPr="00FE7170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FE7170">
              <w:rPr>
                <w:rFonts w:ascii="Times New Roman" w:hAnsi="Times New Roman"/>
              </w:rPr>
              <w:t>Selektywne inhibitory wychwytu zwrotnego serotoniny (SSRI)</w:t>
            </w:r>
          </w:p>
        </w:tc>
        <w:tc>
          <w:tcPr>
            <w:tcW w:w="4606" w:type="dxa"/>
          </w:tcPr>
          <w:p w14:paraId="62342DEC" w14:textId="77777777" w:rsidR="002E1BB7" w:rsidRPr="009C5636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FF6395">
              <w:rPr>
                <w:rFonts w:ascii="Times New Roman" w:hAnsi="Times New Roman"/>
              </w:rPr>
              <w:t>Zwiększone ryzyk</w:t>
            </w:r>
            <w:r w:rsidRPr="009C5636">
              <w:rPr>
                <w:rFonts w:ascii="Times New Roman" w:hAnsi="Times New Roman"/>
              </w:rPr>
              <w:t>o krwawienia z układu pokarmowego (patrz punkt 4.4)</w:t>
            </w:r>
          </w:p>
        </w:tc>
      </w:tr>
      <w:tr w:rsidR="002E1BB7" w:rsidRPr="004121D7" w14:paraId="2071F6C5" w14:textId="77777777" w:rsidTr="00832094">
        <w:tc>
          <w:tcPr>
            <w:tcW w:w="4606" w:type="dxa"/>
          </w:tcPr>
          <w:p w14:paraId="5B7375DC" w14:textId="77777777" w:rsidR="002E1BB7" w:rsidRPr="00FE7170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FE7170">
              <w:rPr>
                <w:rFonts w:ascii="Times New Roman" w:hAnsi="Times New Roman"/>
              </w:rPr>
              <w:t>Takrolimus</w:t>
            </w:r>
          </w:p>
        </w:tc>
        <w:tc>
          <w:tcPr>
            <w:tcW w:w="4606" w:type="dxa"/>
          </w:tcPr>
          <w:p w14:paraId="777D63FE" w14:textId="77777777" w:rsidR="002E1BB7" w:rsidRPr="00FF6395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FF6395">
              <w:rPr>
                <w:rFonts w:ascii="Times New Roman" w:hAnsi="Times New Roman"/>
              </w:rPr>
              <w:t>Hiperkaliemia, niewydolność nerek (należy unikać tego skojarzenia)</w:t>
            </w:r>
          </w:p>
        </w:tc>
      </w:tr>
      <w:tr w:rsidR="002E1BB7" w:rsidRPr="004121D7" w14:paraId="1052D3C5" w14:textId="77777777" w:rsidTr="00832094">
        <w:tc>
          <w:tcPr>
            <w:tcW w:w="4606" w:type="dxa"/>
          </w:tcPr>
          <w:p w14:paraId="4F14A1D5" w14:textId="77777777" w:rsidR="002E1BB7" w:rsidRPr="00FE7170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FE7170">
              <w:rPr>
                <w:rFonts w:ascii="Times New Roman" w:hAnsi="Times New Roman"/>
              </w:rPr>
              <w:t>Triamteren</w:t>
            </w:r>
          </w:p>
        </w:tc>
        <w:tc>
          <w:tcPr>
            <w:tcW w:w="4606" w:type="dxa"/>
          </w:tcPr>
          <w:p w14:paraId="6591400B" w14:textId="77777777" w:rsidR="002E1BB7" w:rsidRPr="00FF6395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FF6395">
              <w:rPr>
                <w:rFonts w:ascii="Times New Roman" w:hAnsi="Times New Roman"/>
              </w:rPr>
              <w:t>Niewydolność nerek</w:t>
            </w:r>
          </w:p>
        </w:tc>
      </w:tr>
      <w:tr w:rsidR="002E1BB7" w:rsidRPr="004121D7" w14:paraId="605780B7" w14:textId="77777777" w:rsidTr="00832094">
        <w:tc>
          <w:tcPr>
            <w:tcW w:w="4606" w:type="dxa"/>
          </w:tcPr>
          <w:p w14:paraId="5492E403" w14:textId="77777777" w:rsidR="002E1BB7" w:rsidRPr="009C5636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FE7170">
              <w:rPr>
                <w:rFonts w:ascii="Times New Roman" w:hAnsi="Times New Roman"/>
              </w:rPr>
              <w:t>Tr</w:t>
            </w:r>
            <w:r w:rsidRPr="00FF6395">
              <w:rPr>
                <w:rFonts w:ascii="Times New Roman" w:hAnsi="Times New Roman"/>
              </w:rPr>
              <w:t>i</w:t>
            </w:r>
            <w:r w:rsidRPr="009C5636">
              <w:rPr>
                <w:rFonts w:ascii="Times New Roman" w:hAnsi="Times New Roman"/>
              </w:rPr>
              <w:t>metoprym</w:t>
            </w:r>
          </w:p>
        </w:tc>
        <w:tc>
          <w:tcPr>
            <w:tcW w:w="4606" w:type="dxa"/>
          </w:tcPr>
          <w:p w14:paraId="224230D1" w14:textId="77777777" w:rsidR="002E1BB7" w:rsidRPr="009C5636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9C5636">
              <w:rPr>
                <w:rFonts w:ascii="Times New Roman" w:hAnsi="Times New Roman"/>
              </w:rPr>
              <w:t>Hiperkaliemia (zalecany uważny monitoring)</w:t>
            </w:r>
          </w:p>
        </w:tc>
      </w:tr>
      <w:tr w:rsidR="002E1BB7" w:rsidRPr="004121D7" w14:paraId="15834D3C" w14:textId="77777777" w:rsidTr="00832094">
        <w:tc>
          <w:tcPr>
            <w:tcW w:w="4606" w:type="dxa"/>
          </w:tcPr>
          <w:p w14:paraId="17F1CE90" w14:textId="77777777" w:rsidR="002E1BB7" w:rsidRPr="00FE7170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FE7170">
              <w:rPr>
                <w:rFonts w:ascii="Times New Roman" w:hAnsi="Times New Roman"/>
              </w:rPr>
              <w:t>Zydowudyna</w:t>
            </w:r>
          </w:p>
        </w:tc>
        <w:tc>
          <w:tcPr>
            <w:tcW w:w="4606" w:type="dxa"/>
          </w:tcPr>
          <w:p w14:paraId="328E3B3C" w14:textId="77777777" w:rsidR="002E1BB7" w:rsidRPr="009C5636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FF6395">
              <w:rPr>
                <w:rFonts w:ascii="Times New Roman" w:hAnsi="Times New Roman"/>
              </w:rPr>
              <w:t>Zwiększone ryzyko hemato</w:t>
            </w:r>
            <w:r w:rsidRPr="009C5636">
              <w:rPr>
                <w:rFonts w:ascii="Times New Roman" w:hAnsi="Times New Roman"/>
              </w:rPr>
              <w:t xml:space="preserve">toksyczności </w:t>
            </w:r>
          </w:p>
        </w:tc>
      </w:tr>
    </w:tbl>
    <w:p w14:paraId="6936A181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E1BB7" w:rsidRPr="004121D7" w14:paraId="3716973F" w14:textId="77777777" w:rsidTr="004121D7">
        <w:tc>
          <w:tcPr>
            <w:tcW w:w="4606" w:type="dxa"/>
          </w:tcPr>
          <w:p w14:paraId="6FDEC03B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1D7">
              <w:rPr>
                <w:rFonts w:ascii="Times New Roman" w:hAnsi="Times New Roman"/>
                <w:b/>
              </w:rPr>
              <w:t>Jednoczesne stosowanie tiaminy z:</w:t>
            </w:r>
          </w:p>
        </w:tc>
        <w:tc>
          <w:tcPr>
            <w:tcW w:w="4606" w:type="dxa"/>
          </w:tcPr>
          <w:p w14:paraId="4F8186A0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1D7">
              <w:rPr>
                <w:rFonts w:ascii="Times New Roman" w:hAnsi="Times New Roman"/>
                <w:b/>
              </w:rPr>
              <w:t>Mogą wystąpić następujące działania niepożądane:</w:t>
            </w:r>
          </w:p>
        </w:tc>
      </w:tr>
      <w:tr w:rsidR="002E1BB7" w:rsidRPr="004121D7" w14:paraId="5A64B715" w14:textId="77777777" w:rsidTr="004121D7">
        <w:tc>
          <w:tcPr>
            <w:tcW w:w="4606" w:type="dxa"/>
          </w:tcPr>
          <w:p w14:paraId="78B50DAC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Alkohol, herbata</w:t>
            </w:r>
          </w:p>
        </w:tc>
        <w:tc>
          <w:tcPr>
            <w:tcW w:w="4606" w:type="dxa"/>
          </w:tcPr>
          <w:p w14:paraId="54DA6BC1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Zmniejszone wchłanianie tiaminy</w:t>
            </w:r>
          </w:p>
        </w:tc>
      </w:tr>
      <w:tr w:rsidR="002E1BB7" w:rsidRPr="004121D7" w14:paraId="3E42E570" w14:textId="77777777" w:rsidTr="004121D7">
        <w:tc>
          <w:tcPr>
            <w:tcW w:w="4606" w:type="dxa"/>
          </w:tcPr>
          <w:p w14:paraId="64D09704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Antacydy</w:t>
            </w:r>
          </w:p>
        </w:tc>
        <w:tc>
          <w:tcPr>
            <w:tcW w:w="4606" w:type="dxa"/>
          </w:tcPr>
          <w:p w14:paraId="313E4DFE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Zmniejszone wchłanianie tiaminy</w:t>
            </w:r>
          </w:p>
        </w:tc>
      </w:tr>
      <w:tr w:rsidR="002E1BB7" w:rsidRPr="004121D7" w14:paraId="420F0974" w14:textId="77777777" w:rsidTr="004121D7">
        <w:tc>
          <w:tcPr>
            <w:tcW w:w="4606" w:type="dxa"/>
          </w:tcPr>
          <w:p w14:paraId="2768BD33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Napoje zawierające siarczany np. wino</w:t>
            </w:r>
          </w:p>
        </w:tc>
        <w:tc>
          <w:tcPr>
            <w:tcW w:w="4606" w:type="dxa"/>
          </w:tcPr>
          <w:p w14:paraId="782F1A40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Nasilony rozkład tiaminy</w:t>
            </w:r>
          </w:p>
        </w:tc>
      </w:tr>
      <w:tr w:rsidR="002E1BB7" w:rsidRPr="004121D7" w14:paraId="08BD74C3" w14:textId="77777777" w:rsidTr="004121D7">
        <w:tc>
          <w:tcPr>
            <w:tcW w:w="4606" w:type="dxa"/>
          </w:tcPr>
          <w:p w14:paraId="55EA78E3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5- fluorouracyl</w:t>
            </w:r>
          </w:p>
        </w:tc>
        <w:tc>
          <w:tcPr>
            <w:tcW w:w="4606" w:type="dxa"/>
          </w:tcPr>
          <w:p w14:paraId="1F2C7CD3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 xml:space="preserve">Kompetencyjne hamowanie fosforylacji tiaminy </w:t>
            </w:r>
            <w:r w:rsidRPr="004121D7">
              <w:rPr>
                <w:rFonts w:ascii="Times New Roman" w:hAnsi="Times New Roman"/>
              </w:rPr>
              <w:lastRenderedPageBreak/>
              <w:t>do pirofosforanu tiaminy - dezaktywacja tiaminy.</w:t>
            </w:r>
          </w:p>
        </w:tc>
      </w:tr>
      <w:tr w:rsidR="002E1BB7" w:rsidRPr="004121D7" w14:paraId="78A3777A" w14:textId="77777777" w:rsidTr="004121D7">
        <w:tc>
          <w:tcPr>
            <w:tcW w:w="4606" w:type="dxa"/>
          </w:tcPr>
          <w:p w14:paraId="6735029A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lastRenderedPageBreak/>
              <w:t>Diuretyki pętlowe np. furosemid</w:t>
            </w:r>
          </w:p>
        </w:tc>
        <w:tc>
          <w:tcPr>
            <w:tcW w:w="4606" w:type="dxa"/>
          </w:tcPr>
          <w:p w14:paraId="77B1BCC3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Zahamowanie reabsorpcji w kanalikach nerkowych i tym samym wydalanie tiaminy</w:t>
            </w:r>
            <w:r>
              <w:rPr>
                <w:rFonts w:ascii="Times New Roman" w:hAnsi="Times New Roman"/>
              </w:rPr>
              <w:t xml:space="preserve"> </w:t>
            </w:r>
            <w:r w:rsidRPr="004121D7">
              <w:rPr>
                <w:rFonts w:ascii="Times New Roman" w:hAnsi="Times New Roman"/>
              </w:rPr>
              <w:t>podczas długotrw</w:t>
            </w:r>
            <w:r>
              <w:rPr>
                <w:rFonts w:ascii="Times New Roman" w:hAnsi="Times New Roman"/>
              </w:rPr>
              <w:t>ał</w:t>
            </w:r>
            <w:r w:rsidRPr="004121D7">
              <w:rPr>
                <w:rFonts w:ascii="Times New Roman" w:hAnsi="Times New Roman"/>
              </w:rPr>
              <w:t>ego leczenia (zmniejszenie stężenia tiaminy)</w:t>
            </w:r>
          </w:p>
        </w:tc>
      </w:tr>
    </w:tbl>
    <w:p w14:paraId="322B803A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E1BB7" w:rsidRPr="004121D7" w14:paraId="5C621E2F" w14:textId="77777777" w:rsidTr="004121D7">
        <w:tc>
          <w:tcPr>
            <w:tcW w:w="4606" w:type="dxa"/>
          </w:tcPr>
          <w:p w14:paraId="49E3031E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1D7">
              <w:rPr>
                <w:rFonts w:ascii="Times New Roman" w:hAnsi="Times New Roman"/>
                <w:b/>
              </w:rPr>
              <w:t>Jednoczesne stosowanie pirydoksyny z:</w:t>
            </w:r>
          </w:p>
        </w:tc>
        <w:tc>
          <w:tcPr>
            <w:tcW w:w="4606" w:type="dxa"/>
          </w:tcPr>
          <w:p w14:paraId="24FB6BC5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1D7">
              <w:rPr>
                <w:rFonts w:ascii="Times New Roman" w:hAnsi="Times New Roman"/>
                <w:b/>
              </w:rPr>
              <w:t>Mogą wystąpić następujące działania niepożądane:</w:t>
            </w:r>
          </w:p>
        </w:tc>
      </w:tr>
      <w:tr w:rsidR="002E1BB7" w:rsidRPr="004121D7" w14:paraId="2A62FC72" w14:textId="77777777" w:rsidTr="004121D7">
        <w:tc>
          <w:tcPr>
            <w:tcW w:w="4606" w:type="dxa"/>
          </w:tcPr>
          <w:p w14:paraId="3B2CE510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L-dopa</w:t>
            </w:r>
          </w:p>
        </w:tc>
        <w:tc>
          <w:tcPr>
            <w:tcW w:w="4606" w:type="dxa"/>
          </w:tcPr>
          <w:p w14:paraId="445C778C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Zmniejszenie działania lewodopy</w:t>
            </w:r>
          </w:p>
        </w:tc>
      </w:tr>
      <w:tr w:rsidR="002E1BB7" w:rsidRPr="004121D7" w14:paraId="134CDDFD" w14:textId="77777777" w:rsidTr="004121D7">
        <w:tc>
          <w:tcPr>
            <w:tcW w:w="4606" w:type="dxa"/>
          </w:tcPr>
          <w:p w14:paraId="327B58F0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Antagoniści pirydoksyny (np. izoniazyd, hydralazyna, D-penicylamina, cykloseryna)</w:t>
            </w:r>
          </w:p>
        </w:tc>
        <w:tc>
          <w:tcPr>
            <w:tcW w:w="4606" w:type="dxa"/>
          </w:tcPr>
          <w:p w14:paraId="410FB984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Zwiększone zapotrzebowanie na witaminę B</w:t>
            </w:r>
            <w:r w:rsidRPr="004121D7">
              <w:rPr>
                <w:rFonts w:ascii="Times New Roman" w:hAnsi="Times New Roman"/>
                <w:vertAlign w:val="subscript"/>
              </w:rPr>
              <w:t>6</w:t>
            </w:r>
          </w:p>
        </w:tc>
      </w:tr>
    </w:tbl>
    <w:p w14:paraId="06ECEF02" w14:textId="77777777" w:rsidR="002E1BB7" w:rsidRPr="00633E42" w:rsidRDefault="002E1BB7" w:rsidP="009010CE">
      <w:pPr>
        <w:spacing w:after="0" w:line="240" w:lineRule="auto"/>
        <w:rPr>
          <w:rFonts w:ascii="Times New Roman" w:hAnsi="Times New Roman"/>
        </w:rPr>
      </w:pPr>
    </w:p>
    <w:p w14:paraId="4A99C6C4" w14:textId="77777777" w:rsidR="002E1BB7" w:rsidRPr="00633E42" w:rsidRDefault="002E1BB7" w:rsidP="00FE285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Wpływ na płodność, ciążę i laktację</w:t>
      </w:r>
    </w:p>
    <w:p w14:paraId="086B1909" w14:textId="77777777" w:rsidR="002E1BB7" w:rsidRPr="00633E42" w:rsidRDefault="002E1BB7" w:rsidP="00FE2851">
      <w:pPr>
        <w:pStyle w:val="Akapitzlist"/>
        <w:spacing w:after="0" w:line="240" w:lineRule="auto"/>
        <w:ind w:left="1068"/>
        <w:rPr>
          <w:rFonts w:ascii="Times New Roman" w:hAnsi="Times New Roman"/>
        </w:rPr>
      </w:pPr>
    </w:p>
    <w:p w14:paraId="0FAC1ADB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 w:rsidRPr="009010CE">
        <w:rPr>
          <w:rFonts w:ascii="Times New Roman" w:hAnsi="Times New Roman"/>
          <w:u w:val="single"/>
        </w:rPr>
        <w:t>Ciąża</w:t>
      </w:r>
    </w:p>
    <w:p w14:paraId="588EF9F5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001800E7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i/>
        </w:rPr>
      </w:pPr>
      <w:r w:rsidRPr="009010CE">
        <w:rPr>
          <w:rFonts w:ascii="Times New Roman" w:hAnsi="Times New Roman"/>
          <w:i/>
        </w:rPr>
        <w:t>Diklofenak</w:t>
      </w:r>
    </w:p>
    <w:p w14:paraId="33E749AD" w14:textId="414B568F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Zahamowanie syntezy prostaglandyny może negatywnie wpływać na ciążę i (lub) rozwój zarodka i płodu. Dane z badań epidemiologicznych sugerują zwiększone ryzyko poronienia lub wad </w:t>
      </w:r>
      <w:r>
        <w:rPr>
          <w:rFonts w:ascii="Times New Roman" w:hAnsi="Times New Roman"/>
        </w:rPr>
        <w:t>serca</w:t>
      </w:r>
      <w:r w:rsidRPr="00633E42">
        <w:rPr>
          <w:rFonts w:ascii="Times New Roman" w:hAnsi="Times New Roman"/>
        </w:rPr>
        <w:t xml:space="preserve"> i wytrzewienia u płodu po zastosowaniu inhibitorów prostaglandyny we wczesnym okresie ciąży. Uważa się, że ryzyko wzrasta wraz ze zwiększaniem dawki i wydłużenie</w:t>
      </w:r>
      <w:r>
        <w:rPr>
          <w:rFonts w:ascii="Times New Roman" w:hAnsi="Times New Roman"/>
        </w:rPr>
        <w:t>m</w:t>
      </w:r>
      <w:r w:rsidRPr="00633E42">
        <w:rPr>
          <w:rFonts w:ascii="Times New Roman" w:hAnsi="Times New Roman"/>
        </w:rPr>
        <w:t xml:space="preserve"> czasu leczenia. </w:t>
      </w:r>
    </w:p>
    <w:p w14:paraId="4B024EAF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Bezwzględne ryzyko wad układu sercowo-naczyniowego wzrosło z mniej niż 1% do około 1,5%.</w:t>
      </w:r>
    </w:p>
    <w:p w14:paraId="32917913" w14:textId="02448EC9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U zwierząt podawanie inhibitorów syntezy prostaglandyny wykazało zwiększoną ilość strat przed i po implantacyjnych, śmiertelność zarodków i płodów. Ponadto, zwiększenie częstości występowania wad rozwojowych, w tym choroby układu krążenia, odnotowano u zwierząt otrzymujących inhibitor syntezy prostaglandyn w okresie organogenezy.</w:t>
      </w:r>
    </w:p>
    <w:p w14:paraId="11DE9E27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24660640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Podczas pierwszego i drugiego trymestru ciąży, diklofenak może być podawany wyłącznie jeśli jest to absolutnie wskazane. Jeśli diklofenak stosowany jest u kobiet </w:t>
      </w:r>
      <w:r>
        <w:rPr>
          <w:rFonts w:ascii="Times New Roman" w:hAnsi="Times New Roman"/>
        </w:rPr>
        <w:t>planujących</w:t>
      </w:r>
      <w:r w:rsidRPr="00633E42">
        <w:rPr>
          <w:rFonts w:ascii="Times New Roman" w:hAnsi="Times New Roman"/>
        </w:rPr>
        <w:t xml:space="preserve"> ciążę lub podczas pierwszego lub drugiego trymestru ciąży, należy zastosować najmniejszą skuteczną dawkę przez najkrótszy możliwie okres.</w:t>
      </w:r>
    </w:p>
    <w:p w14:paraId="790A950C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2604D85C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Podczas trzeciego trymestru ciąży wszystkie inhibitory syntezy prostaglandyny mogą:</w:t>
      </w:r>
    </w:p>
    <w:p w14:paraId="22ED0396" w14:textId="77777777" w:rsidR="002E1BB7" w:rsidRDefault="002E1BB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</w:rPr>
      </w:pPr>
      <w:r w:rsidRPr="009010CE">
        <w:rPr>
          <w:rFonts w:ascii="Times New Roman" w:hAnsi="Times New Roman"/>
          <w:b/>
        </w:rPr>
        <w:t>narazić płód na następujące zagrożenia:</w:t>
      </w:r>
    </w:p>
    <w:p w14:paraId="79AF53E0" w14:textId="77777777" w:rsidR="002E1BB7" w:rsidRPr="00633E42" w:rsidRDefault="002E1BB7" w:rsidP="009010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9010CE">
        <w:rPr>
          <w:rFonts w:ascii="Times New Roman" w:hAnsi="Times New Roman"/>
        </w:rPr>
        <w:t>toksyczny wpływ na układ krążeni</w:t>
      </w:r>
      <w:r>
        <w:rPr>
          <w:rFonts w:ascii="Times New Roman" w:hAnsi="Times New Roman"/>
        </w:rPr>
        <w:t xml:space="preserve">a i </w:t>
      </w:r>
      <w:r w:rsidRPr="009010CE">
        <w:rPr>
          <w:rFonts w:ascii="Times New Roman" w:hAnsi="Times New Roman"/>
        </w:rPr>
        <w:t>oddechowy (z</w:t>
      </w:r>
      <w:r w:rsidRPr="00633E42">
        <w:t xml:space="preserve"> </w:t>
      </w:r>
      <w:r w:rsidRPr="009010CE">
        <w:rPr>
          <w:rFonts w:ascii="Times New Roman" w:hAnsi="Times New Roman"/>
        </w:rPr>
        <w:t>przedwczesnym zamknięciem przewodu tętniczego i nadciśnieniem płucnym)</w:t>
      </w:r>
    </w:p>
    <w:p w14:paraId="5631B607" w14:textId="77777777" w:rsidR="002E1BB7" w:rsidRPr="00633E42" w:rsidRDefault="002E1BB7" w:rsidP="009010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zaburzenia nerek, które mogą doprowadzić do niewydolności nerek z małowodziem</w:t>
      </w:r>
    </w:p>
    <w:p w14:paraId="4C211BE9" w14:textId="77777777" w:rsidR="002E1BB7" w:rsidRDefault="002E1BB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9010CE">
        <w:rPr>
          <w:rFonts w:ascii="Times New Roman" w:hAnsi="Times New Roman"/>
          <w:b/>
        </w:rPr>
        <w:t>narazić matkę i dziecko pod koniec ciąży na następujące zagrożenia:</w:t>
      </w:r>
    </w:p>
    <w:p w14:paraId="2D388CAB" w14:textId="77777777" w:rsidR="002E1BB7" w:rsidRPr="00633E42" w:rsidRDefault="002E1BB7" w:rsidP="009010C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9010CE">
        <w:rPr>
          <w:rFonts w:ascii="Times New Roman" w:hAnsi="Times New Roman"/>
        </w:rPr>
        <w:t>wydł</w:t>
      </w:r>
      <w:r w:rsidRPr="00633E42">
        <w:rPr>
          <w:rFonts w:ascii="Times New Roman" w:hAnsi="Times New Roman"/>
        </w:rPr>
        <w:t>użenie czasu krwawienia i działa</w:t>
      </w:r>
      <w:r w:rsidRPr="009010CE">
        <w:rPr>
          <w:rFonts w:ascii="Times New Roman" w:hAnsi="Times New Roman"/>
        </w:rPr>
        <w:t>nie przeciwpłytkowe, co może wystąpić nawet p</w:t>
      </w:r>
      <w:r>
        <w:rPr>
          <w:rFonts w:ascii="Times New Roman" w:hAnsi="Times New Roman"/>
        </w:rPr>
        <w:t>o</w:t>
      </w:r>
      <w:r w:rsidRPr="009010CE">
        <w:rPr>
          <w:rFonts w:ascii="Times New Roman" w:hAnsi="Times New Roman"/>
        </w:rPr>
        <w:t xml:space="preserve"> zastosowaniu bardzo małych dawek</w:t>
      </w:r>
    </w:p>
    <w:p w14:paraId="6D79397C" w14:textId="77777777" w:rsidR="002E1BB7" w:rsidRPr="00633E42" w:rsidRDefault="002E1BB7" w:rsidP="009010C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zahamowanie skurczów macicy, co może spowodować opóźniony lub wydłużający się poród</w:t>
      </w:r>
    </w:p>
    <w:p w14:paraId="5E9F412E" w14:textId="77777777" w:rsidR="002E1BB7" w:rsidRPr="00633E42" w:rsidRDefault="002E1BB7" w:rsidP="000F78A5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W związku z tym diklofenak przeciwwskazany jest w trzecim trymestrze ciąży.</w:t>
      </w:r>
    </w:p>
    <w:p w14:paraId="1E947AB9" w14:textId="77777777" w:rsidR="002E1BB7" w:rsidRPr="00633E42" w:rsidRDefault="002E1BB7" w:rsidP="000F78A5">
      <w:pPr>
        <w:spacing w:after="0" w:line="240" w:lineRule="auto"/>
        <w:rPr>
          <w:rFonts w:ascii="Times New Roman" w:hAnsi="Times New Roman"/>
        </w:rPr>
      </w:pPr>
    </w:p>
    <w:p w14:paraId="4134CC18" w14:textId="77777777" w:rsidR="002E1BB7" w:rsidRPr="009010CE" w:rsidRDefault="002E1BB7" w:rsidP="000F78A5">
      <w:pPr>
        <w:spacing w:after="0" w:line="240" w:lineRule="auto"/>
        <w:rPr>
          <w:rFonts w:ascii="Times New Roman" w:hAnsi="Times New Roman"/>
          <w:i/>
        </w:rPr>
      </w:pPr>
      <w:r w:rsidRPr="009010CE">
        <w:rPr>
          <w:rFonts w:ascii="Times New Roman" w:hAnsi="Times New Roman"/>
          <w:i/>
        </w:rPr>
        <w:t>Wi</w:t>
      </w:r>
      <w:r w:rsidRPr="00633E42">
        <w:rPr>
          <w:rFonts w:ascii="Times New Roman" w:hAnsi="Times New Roman"/>
          <w:i/>
        </w:rPr>
        <w:t>t</w:t>
      </w:r>
      <w:r w:rsidRPr="009010CE">
        <w:rPr>
          <w:rFonts w:ascii="Times New Roman" w:hAnsi="Times New Roman"/>
          <w:i/>
        </w:rPr>
        <w:t>aminy B</w:t>
      </w:r>
      <w:r w:rsidRPr="009010CE">
        <w:rPr>
          <w:rFonts w:ascii="Times New Roman" w:hAnsi="Times New Roman"/>
          <w:i/>
          <w:vertAlign w:val="subscript"/>
        </w:rPr>
        <w:t>1</w:t>
      </w:r>
      <w:r w:rsidRPr="009010CE">
        <w:rPr>
          <w:rFonts w:ascii="Times New Roman" w:hAnsi="Times New Roman"/>
          <w:i/>
        </w:rPr>
        <w:t>, B</w:t>
      </w:r>
      <w:r w:rsidRPr="009010CE">
        <w:rPr>
          <w:rFonts w:ascii="Times New Roman" w:hAnsi="Times New Roman"/>
          <w:i/>
          <w:vertAlign w:val="subscript"/>
        </w:rPr>
        <w:t>6</w:t>
      </w:r>
      <w:r w:rsidRPr="009010CE">
        <w:rPr>
          <w:rFonts w:ascii="Times New Roman" w:hAnsi="Times New Roman"/>
          <w:i/>
        </w:rPr>
        <w:t xml:space="preserve"> i B</w:t>
      </w:r>
      <w:r w:rsidRPr="009010CE">
        <w:rPr>
          <w:rFonts w:ascii="Times New Roman" w:hAnsi="Times New Roman"/>
          <w:i/>
          <w:vertAlign w:val="subscript"/>
        </w:rPr>
        <w:t>12</w:t>
      </w:r>
    </w:p>
    <w:p w14:paraId="21869A19" w14:textId="77777777" w:rsidR="002E1BB7" w:rsidRPr="009010CE" w:rsidRDefault="002E1BB7" w:rsidP="000F78A5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Witaminy zawarte w tym produkcie leczniczym znacząc</w:t>
      </w:r>
      <w:r>
        <w:rPr>
          <w:rFonts w:ascii="Times New Roman" w:hAnsi="Times New Roman"/>
        </w:rPr>
        <w:t>o</w:t>
      </w:r>
      <w:r w:rsidRPr="00633E42">
        <w:rPr>
          <w:rFonts w:ascii="Times New Roman" w:hAnsi="Times New Roman"/>
        </w:rPr>
        <w:t xml:space="preserve"> przekraczają dawki zalecane w okresie ciąży. W związku z tym ten produkt leczniczy nie powinien być stosowany w pierwszym ani w drugim trymestrze ciąży.</w:t>
      </w:r>
    </w:p>
    <w:p w14:paraId="43D281B4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7DC6C14F" w14:textId="77777777" w:rsidR="002E1BB7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 w:rsidRPr="009010CE">
        <w:rPr>
          <w:rFonts w:ascii="Times New Roman" w:hAnsi="Times New Roman"/>
          <w:u w:val="single"/>
        </w:rPr>
        <w:t>Karmienie piersią</w:t>
      </w:r>
    </w:p>
    <w:p w14:paraId="4CF2FB9E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</w:p>
    <w:p w14:paraId="20ABC96C" w14:textId="0547254B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Witaminy B</w:t>
      </w:r>
      <w:r w:rsidRPr="009010CE">
        <w:rPr>
          <w:rFonts w:ascii="Times New Roman" w:hAnsi="Times New Roman"/>
          <w:vertAlign w:val="subscript"/>
        </w:rPr>
        <w:t>1</w:t>
      </w:r>
      <w:r w:rsidRPr="00633E42">
        <w:rPr>
          <w:rFonts w:ascii="Times New Roman" w:hAnsi="Times New Roman"/>
        </w:rPr>
        <w:t>, B</w:t>
      </w:r>
      <w:r w:rsidRPr="009010CE">
        <w:rPr>
          <w:rFonts w:ascii="Times New Roman" w:hAnsi="Times New Roman"/>
          <w:vertAlign w:val="subscript"/>
        </w:rPr>
        <w:t>6</w:t>
      </w:r>
      <w:r w:rsidRPr="00633E42">
        <w:rPr>
          <w:rFonts w:ascii="Times New Roman" w:hAnsi="Times New Roman"/>
        </w:rPr>
        <w:t xml:space="preserve"> i B</w:t>
      </w:r>
      <w:r w:rsidRPr="009010CE">
        <w:rPr>
          <w:rFonts w:ascii="Times New Roman" w:hAnsi="Times New Roman"/>
          <w:vertAlign w:val="subscript"/>
        </w:rPr>
        <w:t>12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oraz w małych ilościach</w:t>
      </w:r>
      <w:r w:rsidRPr="00633E42">
        <w:rPr>
          <w:rFonts w:ascii="Times New Roman" w:hAnsi="Times New Roman"/>
        </w:rPr>
        <w:t xml:space="preserve"> diklofenak przenikają do mleka kobiecego. Z tego powodu, produkt </w:t>
      </w:r>
      <w:r w:rsidR="003331BC">
        <w:rPr>
          <w:rFonts w:ascii="Times New Roman" w:hAnsi="Times New Roman"/>
        </w:rPr>
        <w:t>Diclovit</w:t>
      </w:r>
      <w:r w:rsidRPr="00633E42">
        <w:rPr>
          <w:rFonts w:ascii="Times New Roman" w:hAnsi="Times New Roman"/>
        </w:rPr>
        <w:t xml:space="preserve"> nie powinien być stosowany w okresie karmienia piersią, aby uniknąć niepożądanego wpływu na dziecko.</w:t>
      </w:r>
    </w:p>
    <w:p w14:paraId="795AF2B9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311E8FC8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 w:rsidRPr="009010CE">
        <w:rPr>
          <w:rFonts w:ascii="Times New Roman" w:hAnsi="Times New Roman"/>
          <w:u w:val="single"/>
        </w:rPr>
        <w:t>Płodność</w:t>
      </w:r>
    </w:p>
    <w:p w14:paraId="7C7EA6C5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21D0DFD6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i/>
        </w:rPr>
      </w:pPr>
      <w:r w:rsidRPr="009010CE">
        <w:rPr>
          <w:rFonts w:ascii="Times New Roman" w:hAnsi="Times New Roman"/>
          <w:i/>
        </w:rPr>
        <w:t>Diklofenak</w:t>
      </w:r>
    </w:p>
    <w:p w14:paraId="4266DBF2" w14:textId="636D4C7A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Prostaglandyny odgrywają ważn</w:t>
      </w:r>
      <w:r>
        <w:rPr>
          <w:rFonts w:ascii="Times New Roman" w:hAnsi="Times New Roman"/>
        </w:rPr>
        <w:t>ą</w:t>
      </w:r>
      <w:r w:rsidRPr="00633E42">
        <w:rPr>
          <w:rFonts w:ascii="Times New Roman" w:hAnsi="Times New Roman"/>
        </w:rPr>
        <w:t xml:space="preserve"> rolę podczas owulacji, implantacji i unaczynieniu łożyska. Tak jak inne NLPZ, diklofenak może mieć negatywny wpływ na płodność kobiet i dlatego nie jest zalecany kobietom chcącym zajść w ciążę. </w:t>
      </w:r>
      <w:r>
        <w:rPr>
          <w:rFonts w:ascii="Times New Roman" w:hAnsi="Times New Roman"/>
        </w:rPr>
        <w:t>U k</w:t>
      </w:r>
      <w:r w:rsidRPr="00633E42">
        <w:rPr>
          <w:rFonts w:ascii="Times New Roman" w:hAnsi="Times New Roman"/>
        </w:rPr>
        <w:t xml:space="preserve">obiet, które mają trudności w zajściu w ciążę lub które </w:t>
      </w:r>
      <w:r w:rsidRPr="00982444">
        <w:rPr>
          <w:rFonts w:ascii="Times New Roman" w:hAnsi="Times New Roman"/>
        </w:rPr>
        <w:t>są poddawane badaniom w związku z niepłodnością</w:t>
      </w:r>
      <w:r>
        <w:rPr>
          <w:rFonts w:ascii="Times New Roman" w:hAnsi="Times New Roman"/>
        </w:rPr>
        <w:t>,</w:t>
      </w:r>
      <w:r w:rsidRPr="001D6C82" w:rsidDel="001D6C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należy rozważyć </w:t>
      </w:r>
      <w:r w:rsidRPr="00633E42">
        <w:rPr>
          <w:rFonts w:ascii="Times New Roman" w:hAnsi="Times New Roman"/>
        </w:rPr>
        <w:t>przerw</w:t>
      </w:r>
      <w:r>
        <w:rPr>
          <w:rFonts w:ascii="Times New Roman" w:hAnsi="Times New Roman"/>
        </w:rPr>
        <w:t>anie</w:t>
      </w:r>
      <w:r w:rsidRPr="00633E42">
        <w:rPr>
          <w:rFonts w:ascii="Times New Roman" w:hAnsi="Times New Roman"/>
        </w:rPr>
        <w:t xml:space="preserve"> stosowani</w:t>
      </w:r>
      <w:r>
        <w:rPr>
          <w:rFonts w:ascii="Times New Roman" w:hAnsi="Times New Roman"/>
        </w:rPr>
        <w:t>a</w:t>
      </w:r>
      <w:r w:rsidRPr="00633E42">
        <w:rPr>
          <w:rFonts w:ascii="Times New Roman" w:hAnsi="Times New Roman"/>
        </w:rPr>
        <w:t xml:space="preserve"> diklofenaku.</w:t>
      </w:r>
    </w:p>
    <w:p w14:paraId="7F10B717" w14:textId="77777777" w:rsidR="002E1BB7" w:rsidRPr="00633E42" w:rsidRDefault="002E1BB7" w:rsidP="00464278">
      <w:pPr>
        <w:spacing w:after="0" w:line="240" w:lineRule="auto"/>
        <w:rPr>
          <w:rFonts w:ascii="Times New Roman" w:hAnsi="Times New Roman"/>
          <w:i/>
        </w:rPr>
      </w:pPr>
      <w:r w:rsidRPr="00633E42">
        <w:rPr>
          <w:rFonts w:ascii="Times New Roman" w:hAnsi="Times New Roman"/>
          <w:i/>
        </w:rPr>
        <w:t>Witaminy B</w:t>
      </w:r>
      <w:r w:rsidRPr="00633E42">
        <w:rPr>
          <w:rFonts w:ascii="Times New Roman" w:hAnsi="Times New Roman"/>
          <w:i/>
          <w:vertAlign w:val="subscript"/>
        </w:rPr>
        <w:t>1</w:t>
      </w:r>
      <w:r w:rsidRPr="00633E42">
        <w:rPr>
          <w:rFonts w:ascii="Times New Roman" w:hAnsi="Times New Roman"/>
          <w:i/>
        </w:rPr>
        <w:t>, B</w:t>
      </w:r>
      <w:r w:rsidRPr="00633E42">
        <w:rPr>
          <w:rFonts w:ascii="Times New Roman" w:hAnsi="Times New Roman"/>
          <w:i/>
          <w:vertAlign w:val="subscript"/>
        </w:rPr>
        <w:t>6</w:t>
      </w:r>
      <w:r w:rsidRPr="00633E42">
        <w:rPr>
          <w:rFonts w:ascii="Times New Roman" w:hAnsi="Times New Roman"/>
          <w:i/>
        </w:rPr>
        <w:t xml:space="preserve"> i B</w:t>
      </w:r>
      <w:r w:rsidRPr="00633E42">
        <w:rPr>
          <w:rFonts w:ascii="Times New Roman" w:hAnsi="Times New Roman"/>
          <w:i/>
          <w:vertAlign w:val="subscript"/>
        </w:rPr>
        <w:t>12</w:t>
      </w:r>
    </w:p>
    <w:p w14:paraId="3F4CE7F0" w14:textId="77777777" w:rsidR="002E1BB7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Brak danych dotyczących wpływu na płodność. </w:t>
      </w:r>
    </w:p>
    <w:p w14:paraId="046AC253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0EAD9F5B" w14:textId="77777777" w:rsidR="002E1BB7" w:rsidRPr="00633E42" w:rsidRDefault="002E1BB7" w:rsidP="00FE285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Wpływ na zdolność prowadzenia pojazdów i obsługiwania maszyn</w:t>
      </w:r>
    </w:p>
    <w:p w14:paraId="35C71830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31F7B0C5" w14:textId="156E58CF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Produkt </w:t>
      </w:r>
      <w:r w:rsidR="003331BC">
        <w:rPr>
          <w:rFonts w:ascii="Times New Roman" w:hAnsi="Times New Roman"/>
        </w:rPr>
        <w:t>Diclovit</w:t>
      </w:r>
      <w:r w:rsidRPr="00633E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wywiera</w:t>
      </w:r>
      <w:r w:rsidRPr="00633E42">
        <w:rPr>
          <w:rFonts w:ascii="Times New Roman" w:hAnsi="Times New Roman"/>
        </w:rPr>
        <w:t xml:space="preserve"> niewielki wpływ na zdolność prowadzenia pojazdów i obsługiwania maszyn.</w:t>
      </w:r>
    </w:p>
    <w:p w14:paraId="06454C6A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Pacjenci, u których wystąpiły działania niepożądane jak zaburzenia widzenia, zawroty głowy, zmęczenie lub inne objawy ze strony ośrodkowego układu nerwowego</w:t>
      </w:r>
      <w:r>
        <w:rPr>
          <w:rFonts w:ascii="Times New Roman" w:hAnsi="Times New Roman"/>
        </w:rPr>
        <w:t>,</w:t>
      </w:r>
      <w:r w:rsidRPr="00633E42">
        <w:rPr>
          <w:rFonts w:ascii="Times New Roman" w:hAnsi="Times New Roman"/>
        </w:rPr>
        <w:t xml:space="preserve"> nie powinni prowadzić pojazdów ani obsługiwać maszyn. </w:t>
      </w:r>
    </w:p>
    <w:p w14:paraId="2B911FA1" w14:textId="77777777" w:rsidR="002E1BB7" w:rsidRPr="00633E42" w:rsidRDefault="002E1BB7" w:rsidP="00FE2851">
      <w:pPr>
        <w:spacing w:after="0" w:line="240" w:lineRule="auto"/>
        <w:ind w:left="360"/>
        <w:rPr>
          <w:rFonts w:ascii="Times New Roman" w:hAnsi="Times New Roman"/>
        </w:rPr>
      </w:pPr>
    </w:p>
    <w:p w14:paraId="797721E6" w14:textId="77777777" w:rsidR="002E1BB7" w:rsidRPr="00633E42" w:rsidRDefault="002E1BB7" w:rsidP="00FE285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Działania niepożądane</w:t>
      </w:r>
    </w:p>
    <w:p w14:paraId="6A5C8085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i/>
        </w:rPr>
      </w:pPr>
    </w:p>
    <w:p w14:paraId="79BB53D7" w14:textId="77777777" w:rsidR="002E1BB7" w:rsidRPr="00633E42" w:rsidRDefault="002E1BB7" w:rsidP="009010C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</w:rPr>
      </w:pPr>
      <w:r w:rsidRPr="009010CE">
        <w:rPr>
          <w:rFonts w:ascii="Times New Roman" w:hAnsi="Times New Roman"/>
          <w:i/>
        </w:rPr>
        <w:t>Podsumowanie profilu bezpieczeństwa</w:t>
      </w:r>
    </w:p>
    <w:p w14:paraId="228C6408" w14:textId="77777777" w:rsidR="002E1BB7" w:rsidRPr="00633E42" w:rsidRDefault="002E1BB7" w:rsidP="00BD41F9">
      <w:pPr>
        <w:spacing w:after="0" w:line="240" w:lineRule="auto"/>
        <w:rPr>
          <w:rFonts w:ascii="Times New Roman" w:hAnsi="Times New Roman"/>
        </w:rPr>
      </w:pPr>
    </w:p>
    <w:p w14:paraId="7EE6435F" w14:textId="0F8B00D2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Najczęściej obserwowane działania niepożądane diklofenaku dotyczą układu </w:t>
      </w:r>
      <w:r>
        <w:rPr>
          <w:rFonts w:ascii="Times New Roman" w:hAnsi="Times New Roman"/>
        </w:rPr>
        <w:t>pokarmowego</w:t>
      </w:r>
      <w:r w:rsidRPr="00633E42">
        <w:rPr>
          <w:rFonts w:ascii="Times New Roman" w:hAnsi="Times New Roman"/>
        </w:rPr>
        <w:t xml:space="preserve">. Występowały wrzody trawienne, perforacja lub krwawienie z układu pokarmowego – czasem zakończone zgonem, szczególnie u pacjentów w podeszłym wieku. Po podaniu NLPZ opisywano nudności, wymioty, biegunkę, wzdęcia, zaparcia, niestrawność, ból brzucha, krew w kale, krwawe wymioty, </w:t>
      </w:r>
      <w:r w:rsidRPr="003500FB">
        <w:rPr>
          <w:rFonts w:ascii="Times New Roman" w:hAnsi="Times New Roman"/>
        </w:rPr>
        <w:t>wrzodziejące zapalenie jamy ustnej</w:t>
      </w:r>
      <w:r w:rsidRPr="00633E42">
        <w:rPr>
          <w:rFonts w:ascii="Times New Roman" w:hAnsi="Times New Roman"/>
        </w:rPr>
        <w:t>, pogorszenie wrzodziejącego zapaleni</w:t>
      </w:r>
      <w:r>
        <w:rPr>
          <w:rFonts w:ascii="Times New Roman" w:hAnsi="Times New Roman"/>
        </w:rPr>
        <w:t>a</w:t>
      </w:r>
      <w:r w:rsidRPr="00633E42">
        <w:rPr>
          <w:rFonts w:ascii="Times New Roman" w:hAnsi="Times New Roman"/>
        </w:rPr>
        <w:t xml:space="preserve"> jelita grubego i chorobę Leśniowskiego-Crohna (patrz punkt 4.4). Rzadziej obserwowano nieżyt</w:t>
      </w:r>
      <w:r w:rsidRPr="001D6C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błony śluzowej</w:t>
      </w:r>
      <w:r w:rsidRPr="00633E42">
        <w:rPr>
          <w:rFonts w:ascii="Times New Roman" w:hAnsi="Times New Roman"/>
        </w:rPr>
        <w:t xml:space="preserve"> żołądka. </w:t>
      </w:r>
    </w:p>
    <w:p w14:paraId="62B383C1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1BD260DA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W związku z leczeniem NLPZ zgłaszano również obrzęk, nadciśnienie</w:t>
      </w:r>
      <w:r>
        <w:rPr>
          <w:rFonts w:ascii="Times New Roman" w:hAnsi="Times New Roman"/>
        </w:rPr>
        <w:t xml:space="preserve"> tętnicze</w:t>
      </w:r>
      <w:r w:rsidRPr="00633E42">
        <w:rPr>
          <w:rFonts w:ascii="Times New Roman" w:hAnsi="Times New Roman"/>
        </w:rPr>
        <w:t xml:space="preserve"> i niewydolność serca. </w:t>
      </w:r>
    </w:p>
    <w:p w14:paraId="70DA4796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00F92EC5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Dane z badań klinicznych i epidemiologicznych konsekwentnie wskazują na zwiększone ryzyko </w:t>
      </w:r>
      <w:r>
        <w:rPr>
          <w:rFonts w:ascii="Times New Roman" w:hAnsi="Times New Roman"/>
        </w:rPr>
        <w:t>tętniczych incydentów zatorowo-zakrzepowych</w:t>
      </w:r>
      <w:r w:rsidRPr="00633E42">
        <w:rPr>
          <w:rFonts w:ascii="Times New Roman" w:hAnsi="Times New Roman"/>
        </w:rPr>
        <w:t xml:space="preserve"> (na przykład zawału serca lub udaru) związane ze stosowaniem diklofenaku, szczególnie w dużych dawkach (150 mg na dobę) oraz w leczeniu długotrwałym (patrz punkt 4.3 i 4.4).</w:t>
      </w:r>
    </w:p>
    <w:p w14:paraId="7283F6FB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4BA6FCF6" w14:textId="4551B745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Należy uprzedzić pacjenta o konieczności przerwania stosowania produktu </w:t>
      </w:r>
      <w:r w:rsidR="003331BC">
        <w:rPr>
          <w:rFonts w:ascii="Times New Roman" w:hAnsi="Times New Roman"/>
        </w:rPr>
        <w:t>Diclovit</w:t>
      </w:r>
      <w:r w:rsidRPr="00633E42">
        <w:rPr>
          <w:rFonts w:ascii="Times New Roman" w:hAnsi="Times New Roman"/>
        </w:rPr>
        <w:t xml:space="preserve"> i natychmiastowego zasięgnięcia pomocy lekarskiej w następujących przypadkach: </w:t>
      </w:r>
    </w:p>
    <w:p w14:paraId="60433F75" w14:textId="77777777" w:rsidR="002E1BB7" w:rsidRPr="00633E42" w:rsidRDefault="002E1BB7" w:rsidP="009010C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dolegliwości ze strony żołądka, zgaga, ból brzucha</w:t>
      </w:r>
      <w:r>
        <w:rPr>
          <w:rFonts w:ascii="Times New Roman" w:hAnsi="Times New Roman"/>
        </w:rPr>
        <w:t>,</w:t>
      </w:r>
    </w:p>
    <w:p w14:paraId="0EE66065" w14:textId="77777777" w:rsidR="002E1BB7" w:rsidRPr="00633E42" w:rsidRDefault="002E1BB7" w:rsidP="009010C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krwawe wymioty, krew w stolcu, krew w moczu</w:t>
      </w:r>
      <w:r>
        <w:rPr>
          <w:rFonts w:ascii="Times New Roman" w:hAnsi="Times New Roman"/>
        </w:rPr>
        <w:t>,</w:t>
      </w:r>
    </w:p>
    <w:p w14:paraId="370CC3F4" w14:textId="77777777" w:rsidR="002E1BB7" w:rsidRPr="00633E42" w:rsidRDefault="002E1BB7" w:rsidP="009010C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reakcje skórne jak wysypka lub świąd</w:t>
      </w:r>
      <w:r>
        <w:rPr>
          <w:rFonts w:ascii="Times New Roman" w:hAnsi="Times New Roman"/>
        </w:rPr>
        <w:t>,</w:t>
      </w:r>
    </w:p>
    <w:p w14:paraId="7FC6497E" w14:textId="77777777" w:rsidR="002E1BB7" w:rsidRPr="00633E42" w:rsidRDefault="002E1BB7" w:rsidP="009010C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trudności w oddychaniu, spłycony oddech, obrzęk twarzy</w:t>
      </w:r>
      <w:r>
        <w:rPr>
          <w:rFonts w:ascii="Times New Roman" w:hAnsi="Times New Roman"/>
        </w:rPr>
        <w:t>, języka, krtani,</w:t>
      </w:r>
    </w:p>
    <w:p w14:paraId="74FE6F84" w14:textId="77777777" w:rsidR="002E1BB7" w:rsidRPr="00633E42" w:rsidRDefault="002E1BB7" w:rsidP="009010C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zażółcenie skóry lub oczu</w:t>
      </w:r>
      <w:r>
        <w:rPr>
          <w:rFonts w:ascii="Times New Roman" w:hAnsi="Times New Roman"/>
        </w:rPr>
        <w:t>,</w:t>
      </w:r>
    </w:p>
    <w:p w14:paraId="600907D3" w14:textId="5DCBB814" w:rsidR="002E1BB7" w:rsidRPr="00633E42" w:rsidRDefault="002E1BB7" w:rsidP="009010C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znaczne</w:t>
      </w:r>
      <w:r w:rsidRPr="00633E42">
        <w:rPr>
          <w:rFonts w:ascii="Times New Roman" w:hAnsi="Times New Roman"/>
        </w:rPr>
        <w:t xml:space="preserve"> zmęczenie </w:t>
      </w:r>
      <w:r>
        <w:rPr>
          <w:rFonts w:ascii="Times New Roman" w:hAnsi="Times New Roman"/>
        </w:rPr>
        <w:t>powiązane z</w:t>
      </w:r>
      <w:r w:rsidRPr="00633E42">
        <w:rPr>
          <w:rFonts w:ascii="Times New Roman" w:hAnsi="Times New Roman"/>
        </w:rPr>
        <w:t xml:space="preserve"> utrat</w:t>
      </w:r>
      <w:r>
        <w:rPr>
          <w:rFonts w:ascii="Times New Roman" w:hAnsi="Times New Roman"/>
        </w:rPr>
        <w:t>ą</w:t>
      </w:r>
      <w:r w:rsidRPr="00633E42">
        <w:rPr>
          <w:rFonts w:ascii="Times New Roman" w:hAnsi="Times New Roman"/>
        </w:rPr>
        <w:t xml:space="preserve"> apetytu</w:t>
      </w:r>
      <w:r>
        <w:rPr>
          <w:rFonts w:ascii="Times New Roman" w:hAnsi="Times New Roman"/>
        </w:rPr>
        <w:t>,</w:t>
      </w:r>
    </w:p>
    <w:p w14:paraId="557E00A5" w14:textId="77777777" w:rsidR="002E1BB7" w:rsidRPr="00633E42" w:rsidRDefault="002E1BB7" w:rsidP="009010C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utrzymujący się ból gardła, zmiany </w:t>
      </w:r>
      <w:r>
        <w:rPr>
          <w:rFonts w:ascii="Times New Roman" w:hAnsi="Times New Roman"/>
        </w:rPr>
        <w:t>błony śluzowej</w:t>
      </w:r>
      <w:r w:rsidRPr="00633E42">
        <w:rPr>
          <w:rFonts w:ascii="Times New Roman" w:hAnsi="Times New Roman"/>
        </w:rPr>
        <w:t xml:space="preserve"> jam</w:t>
      </w:r>
      <w:r>
        <w:rPr>
          <w:rFonts w:ascii="Times New Roman" w:hAnsi="Times New Roman"/>
        </w:rPr>
        <w:t>y</w:t>
      </w:r>
      <w:r w:rsidRPr="00633E42">
        <w:rPr>
          <w:rFonts w:ascii="Times New Roman" w:hAnsi="Times New Roman"/>
        </w:rPr>
        <w:t xml:space="preserve"> ustnej, </w:t>
      </w:r>
      <w:r>
        <w:rPr>
          <w:rFonts w:ascii="Times New Roman" w:hAnsi="Times New Roman"/>
        </w:rPr>
        <w:t xml:space="preserve">zmęczenie lub </w:t>
      </w:r>
      <w:r w:rsidRPr="00633E42">
        <w:rPr>
          <w:rFonts w:ascii="Times New Roman" w:hAnsi="Times New Roman"/>
        </w:rPr>
        <w:t>gorączka</w:t>
      </w:r>
      <w:r>
        <w:rPr>
          <w:rFonts w:ascii="Times New Roman" w:hAnsi="Times New Roman"/>
        </w:rPr>
        <w:t>,</w:t>
      </w:r>
    </w:p>
    <w:p w14:paraId="5DEB8F5C" w14:textId="77777777" w:rsidR="002E1BB7" w:rsidRPr="00633E42" w:rsidRDefault="002E1BB7" w:rsidP="009010C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krwawienie z nosa, krwawienie skórne</w:t>
      </w:r>
      <w:r>
        <w:rPr>
          <w:rFonts w:ascii="Times New Roman" w:hAnsi="Times New Roman"/>
        </w:rPr>
        <w:t>,</w:t>
      </w:r>
    </w:p>
    <w:p w14:paraId="30E798F6" w14:textId="77777777" w:rsidR="002E1BB7" w:rsidRPr="00633E42" w:rsidRDefault="002E1BB7" w:rsidP="009010C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obrzęk twarzy, nóg lub stóp</w:t>
      </w:r>
      <w:r>
        <w:rPr>
          <w:rFonts w:ascii="Times New Roman" w:hAnsi="Times New Roman"/>
        </w:rPr>
        <w:t>,</w:t>
      </w:r>
    </w:p>
    <w:p w14:paraId="3FE3D55B" w14:textId="77777777" w:rsidR="002E1BB7" w:rsidRPr="00633E42" w:rsidRDefault="002E1BB7" w:rsidP="009010C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zmniejszona ilość moczu w połączeniu ze zmęczeniem</w:t>
      </w:r>
      <w:r>
        <w:rPr>
          <w:rFonts w:ascii="Times New Roman" w:hAnsi="Times New Roman"/>
        </w:rPr>
        <w:t>,</w:t>
      </w:r>
    </w:p>
    <w:p w14:paraId="227CE28C" w14:textId="77777777" w:rsidR="002E1BB7" w:rsidRPr="00633E42" w:rsidRDefault="002E1BB7" w:rsidP="009010C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silny</w:t>
      </w:r>
      <w:r w:rsidRPr="00633E42">
        <w:rPr>
          <w:rFonts w:ascii="Times New Roman" w:hAnsi="Times New Roman"/>
        </w:rPr>
        <w:t xml:space="preserve"> ból głowy lub sztywność karku</w:t>
      </w:r>
      <w:r>
        <w:rPr>
          <w:rFonts w:ascii="Times New Roman" w:hAnsi="Times New Roman"/>
        </w:rPr>
        <w:t>,</w:t>
      </w:r>
    </w:p>
    <w:p w14:paraId="2C0BCA36" w14:textId="77777777" w:rsidR="002E1BB7" w:rsidRPr="00633E42" w:rsidRDefault="002E1BB7" w:rsidP="009010C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ból w klatce piersiowej</w:t>
      </w:r>
      <w:r>
        <w:rPr>
          <w:rFonts w:ascii="Times New Roman" w:hAnsi="Times New Roman"/>
        </w:rPr>
        <w:t>,</w:t>
      </w:r>
    </w:p>
    <w:p w14:paraId="5B5939AE" w14:textId="77777777" w:rsidR="002E1BB7" w:rsidRPr="00633E42" w:rsidRDefault="002E1BB7" w:rsidP="009010C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zaburzenia świadomości</w:t>
      </w:r>
      <w:r>
        <w:rPr>
          <w:rFonts w:ascii="Times New Roman" w:hAnsi="Times New Roman"/>
        </w:rPr>
        <w:t>.</w:t>
      </w:r>
    </w:p>
    <w:p w14:paraId="0906ADAB" w14:textId="77777777" w:rsidR="002E1BB7" w:rsidRPr="009010CE" w:rsidRDefault="002E1BB7" w:rsidP="00023A21">
      <w:pPr>
        <w:spacing w:after="0" w:line="240" w:lineRule="auto"/>
        <w:rPr>
          <w:rFonts w:ascii="Times New Roman" w:hAnsi="Times New Roman"/>
          <w:i/>
        </w:rPr>
      </w:pPr>
    </w:p>
    <w:p w14:paraId="60412A59" w14:textId="77777777" w:rsidR="002E1BB7" w:rsidRPr="009010CE" w:rsidRDefault="002E1BB7" w:rsidP="009010C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9010CE">
        <w:rPr>
          <w:rFonts w:ascii="Times New Roman" w:hAnsi="Times New Roman"/>
          <w:i/>
        </w:rPr>
        <w:t>Tabelar</w:t>
      </w:r>
      <w:r>
        <w:rPr>
          <w:rFonts w:ascii="Times New Roman" w:hAnsi="Times New Roman"/>
          <w:i/>
        </w:rPr>
        <w:t>y</w:t>
      </w:r>
      <w:r w:rsidRPr="009010CE">
        <w:rPr>
          <w:rFonts w:ascii="Times New Roman" w:hAnsi="Times New Roman"/>
          <w:i/>
        </w:rPr>
        <w:t>czne zestawienie działań niepożądanych</w:t>
      </w:r>
    </w:p>
    <w:p w14:paraId="3F027F22" w14:textId="77777777" w:rsidR="002E1BB7" w:rsidRPr="00633E42" w:rsidRDefault="002E1BB7" w:rsidP="00023A21">
      <w:pPr>
        <w:spacing w:after="0" w:line="240" w:lineRule="auto"/>
        <w:rPr>
          <w:rFonts w:ascii="Times New Roman" w:hAnsi="Times New Roman"/>
        </w:rPr>
      </w:pPr>
    </w:p>
    <w:p w14:paraId="5DD41D48" w14:textId="77777777" w:rsidR="002E1BB7" w:rsidRPr="00633E42" w:rsidRDefault="002E1BB7" w:rsidP="00023A2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lastRenderedPageBreak/>
        <w:t>Działania niepożądane sklasyfikowane są według częstości występowania w oparciu o następujące kategorie:</w:t>
      </w:r>
    </w:p>
    <w:p w14:paraId="2D743C82" w14:textId="77777777" w:rsidR="002E1BB7" w:rsidRPr="009010CE" w:rsidRDefault="002E1BB7" w:rsidP="00023A21">
      <w:pPr>
        <w:spacing w:after="0" w:line="240" w:lineRule="auto"/>
        <w:rPr>
          <w:rFonts w:ascii="Times New Roman" w:hAnsi="Times New Roman"/>
        </w:rPr>
      </w:pPr>
    </w:p>
    <w:p w14:paraId="5F420989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9010CE">
        <w:rPr>
          <w:rFonts w:ascii="Times New Roman" w:hAnsi="Times New Roman"/>
          <w:b/>
        </w:rPr>
        <w:t>Bardzo często</w:t>
      </w:r>
      <w:r w:rsidRPr="00633E42">
        <w:rPr>
          <w:rFonts w:ascii="Times New Roman" w:hAnsi="Times New Roman"/>
        </w:rPr>
        <w:t xml:space="preserve"> </w:t>
      </w:r>
      <w:r w:rsidRPr="00633E42">
        <w:rPr>
          <w:rFonts w:ascii="Times New Roman" w:hAnsi="Times New Roman"/>
        </w:rPr>
        <w:tab/>
      </w:r>
      <w:r w:rsidRPr="00633E42">
        <w:rPr>
          <w:rFonts w:ascii="Times New Roman" w:hAnsi="Times New Roman"/>
        </w:rPr>
        <w:tab/>
        <w:t>≥1/10</w:t>
      </w:r>
    </w:p>
    <w:p w14:paraId="0374C376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9010CE">
        <w:rPr>
          <w:rFonts w:ascii="Times New Roman" w:hAnsi="Times New Roman"/>
          <w:b/>
        </w:rPr>
        <w:t>Często</w:t>
      </w:r>
      <w:r w:rsidRPr="00633E42">
        <w:rPr>
          <w:rFonts w:ascii="Times New Roman" w:hAnsi="Times New Roman"/>
        </w:rPr>
        <w:t xml:space="preserve"> </w:t>
      </w:r>
      <w:r w:rsidRPr="00633E42">
        <w:rPr>
          <w:rFonts w:ascii="Times New Roman" w:hAnsi="Times New Roman"/>
        </w:rPr>
        <w:tab/>
      </w:r>
      <w:r w:rsidRPr="00633E42">
        <w:rPr>
          <w:rFonts w:ascii="Times New Roman" w:hAnsi="Times New Roman"/>
        </w:rPr>
        <w:tab/>
      </w:r>
      <w:r w:rsidRPr="00633E42">
        <w:rPr>
          <w:rFonts w:ascii="Times New Roman" w:hAnsi="Times New Roman"/>
        </w:rPr>
        <w:tab/>
        <w:t>≥1/100 do &lt; 1/10</w:t>
      </w:r>
    </w:p>
    <w:p w14:paraId="317B2E8E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9010CE">
        <w:rPr>
          <w:rFonts w:ascii="Times New Roman" w:hAnsi="Times New Roman"/>
          <w:b/>
        </w:rPr>
        <w:t>Niezbyt często</w:t>
      </w:r>
      <w:r w:rsidRPr="00633E42">
        <w:rPr>
          <w:rFonts w:ascii="Times New Roman" w:hAnsi="Times New Roman"/>
        </w:rPr>
        <w:tab/>
      </w:r>
      <w:r w:rsidRPr="00633E42">
        <w:rPr>
          <w:rFonts w:ascii="Times New Roman" w:hAnsi="Times New Roman"/>
        </w:rPr>
        <w:tab/>
        <w:t>≥1/1000 do &lt; 1/100</w:t>
      </w:r>
    </w:p>
    <w:p w14:paraId="5DB5C943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9010CE">
        <w:rPr>
          <w:rFonts w:ascii="Times New Roman" w:hAnsi="Times New Roman"/>
          <w:b/>
        </w:rPr>
        <w:t>Rzadko</w:t>
      </w:r>
      <w:r w:rsidRPr="00633E42">
        <w:rPr>
          <w:rFonts w:ascii="Times New Roman" w:hAnsi="Times New Roman"/>
        </w:rPr>
        <w:tab/>
      </w:r>
      <w:r w:rsidRPr="00633E42">
        <w:rPr>
          <w:rFonts w:ascii="Times New Roman" w:hAnsi="Times New Roman"/>
        </w:rPr>
        <w:tab/>
        <w:t>≥1/10000 do &lt; 1/1000</w:t>
      </w:r>
    </w:p>
    <w:p w14:paraId="21F6FAB7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9010CE">
        <w:rPr>
          <w:rFonts w:ascii="Times New Roman" w:hAnsi="Times New Roman"/>
          <w:b/>
        </w:rPr>
        <w:t>Bardzo rzadko</w:t>
      </w:r>
      <w:r w:rsidRPr="00633E42">
        <w:rPr>
          <w:rFonts w:ascii="Times New Roman" w:hAnsi="Times New Roman"/>
        </w:rPr>
        <w:tab/>
      </w:r>
      <w:r w:rsidRPr="00633E42">
        <w:rPr>
          <w:rFonts w:ascii="Times New Roman" w:hAnsi="Times New Roman"/>
        </w:rPr>
        <w:tab/>
        <w:t>&lt; 1/10000</w:t>
      </w:r>
    </w:p>
    <w:p w14:paraId="1AFCFD20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9010CE">
        <w:rPr>
          <w:rFonts w:ascii="Times New Roman" w:hAnsi="Times New Roman"/>
          <w:b/>
        </w:rPr>
        <w:t>Częstość nieznana</w:t>
      </w:r>
      <w:r w:rsidRPr="00633E42">
        <w:rPr>
          <w:rFonts w:ascii="Times New Roman" w:hAnsi="Times New Roman"/>
        </w:rPr>
        <w:t xml:space="preserve"> </w:t>
      </w:r>
      <w:r w:rsidRPr="00633E42">
        <w:rPr>
          <w:rFonts w:ascii="Times New Roman" w:hAnsi="Times New Roman"/>
        </w:rPr>
        <w:tab/>
        <w:t>nie może zostać określona na podstawie dostępnych danych</w:t>
      </w:r>
    </w:p>
    <w:p w14:paraId="76876267" w14:textId="77777777" w:rsidR="002E1BB7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43131074" w14:textId="77777777" w:rsidR="00D65F64" w:rsidRDefault="00D65F64" w:rsidP="00FE2851">
      <w:pPr>
        <w:spacing w:after="0" w:line="240" w:lineRule="auto"/>
        <w:rPr>
          <w:rFonts w:ascii="Times New Roman" w:hAnsi="Times New Roman"/>
        </w:rPr>
      </w:pPr>
    </w:p>
    <w:p w14:paraId="4D6B0FE0" w14:textId="77777777" w:rsidR="00D65F64" w:rsidRPr="00633E42" w:rsidRDefault="00D65F64" w:rsidP="00FE2851">
      <w:pPr>
        <w:spacing w:after="0" w:line="240" w:lineRule="auto"/>
        <w:rPr>
          <w:rFonts w:ascii="Times New Roman" w:hAnsi="Times New Roman"/>
        </w:rPr>
      </w:pPr>
    </w:p>
    <w:p w14:paraId="42D708F2" w14:textId="6AF0A323" w:rsidR="002E1BB7" w:rsidRDefault="002E1BB7" w:rsidP="00FE2851">
      <w:pPr>
        <w:spacing w:after="0" w:line="240" w:lineRule="auto"/>
        <w:rPr>
          <w:rFonts w:ascii="Times New Roman" w:hAnsi="Times New Roman"/>
        </w:rPr>
      </w:pPr>
      <w:r w:rsidRPr="009010CE">
        <w:rPr>
          <w:rFonts w:ascii="Times New Roman" w:hAnsi="Times New Roman"/>
        </w:rPr>
        <w:t xml:space="preserve">Następujące działania niepożądane zgłaszano w odniesieniu do produktu </w:t>
      </w:r>
      <w:r w:rsidR="003331BC">
        <w:rPr>
          <w:rFonts w:ascii="Times New Roman" w:hAnsi="Times New Roman"/>
        </w:rPr>
        <w:t>Diclovit</w:t>
      </w:r>
      <w:r w:rsidRPr="00633E42">
        <w:rPr>
          <w:rFonts w:ascii="Times New Roman" w:hAnsi="Times New Roman"/>
        </w:rPr>
        <w:t xml:space="preserve"> lub innych produktów zawierających diklofenak, stosowanych krótko lub długotrw</w:t>
      </w:r>
      <w:r>
        <w:rPr>
          <w:rFonts w:ascii="Times New Roman" w:hAnsi="Times New Roman"/>
        </w:rPr>
        <w:t>ale</w:t>
      </w:r>
      <w:r w:rsidRPr="00633E42">
        <w:rPr>
          <w:rFonts w:ascii="Times New Roman" w:hAnsi="Times New Roman"/>
        </w:rPr>
        <w:t>:</w:t>
      </w:r>
    </w:p>
    <w:p w14:paraId="62A8A28F" w14:textId="77777777" w:rsidR="00D65F64" w:rsidRDefault="00D65F64" w:rsidP="00FE2851">
      <w:pPr>
        <w:spacing w:after="0" w:line="240" w:lineRule="auto"/>
        <w:rPr>
          <w:rFonts w:ascii="Times New Roman" w:hAnsi="Times New Roman"/>
        </w:rPr>
      </w:pPr>
    </w:p>
    <w:p w14:paraId="7A713DE2" w14:textId="77777777" w:rsidR="00D65F64" w:rsidRDefault="00D65F64" w:rsidP="00FE2851">
      <w:pPr>
        <w:spacing w:after="0" w:line="240" w:lineRule="auto"/>
        <w:rPr>
          <w:rFonts w:ascii="Times New Roman" w:hAnsi="Times New Roman"/>
        </w:rPr>
      </w:pPr>
    </w:p>
    <w:p w14:paraId="6560038E" w14:textId="77777777" w:rsidR="00D65F64" w:rsidRDefault="00D65F64" w:rsidP="00FE2851">
      <w:pPr>
        <w:spacing w:after="0" w:line="240" w:lineRule="auto"/>
        <w:rPr>
          <w:rFonts w:ascii="Times New Roman" w:hAnsi="Times New Roman"/>
        </w:rPr>
      </w:pPr>
    </w:p>
    <w:p w14:paraId="2F75538D" w14:textId="77777777" w:rsidR="00D65F64" w:rsidRPr="009010CE" w:rsidRDefault="00D65F64" w:rsidP="00FE285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1574"/>
        <w:gridCol w:w="4568"/>
      </w:tblGrid>
      <w:tr w:rsidR="002E1BB7" w:rsidRPr="004121D7" w14:paraId="6D1330AA" w14:textId="77777777" w:rsidTr="004121D7">
        <w:tc>
          <w:tcPr>
            <w:tcW w:w="3070" w:type="dxa"/>
          </w:tcPr>
          <w:p w14:paraId="4E7F0BBF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1D7">
              <w:rPr>
                <w:rFonts w:ascii="Times New Roman" w:hAnsi="Times New Roman"/>
                <w:b/>
              </w:rPr>
              <w:t>Klasyfikacja układów i narządów wg MedDRA</w:t>
            </w:r>
          </w:p>
        </w:tc>
        <w:tc>
          <w:tcPr>
            <w:tcW w:w="1574" w:type="dxa"/>
          </w:tcPr>
          <w:p w14:paraId="7AF28470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1D7">
              <w:rPr>
                <w:rFonts w:ascii="Times New Roman" w:hAnsi="Times New Roman"/>
                <w:b/>
              </w:rPr>
              <w:t>Częstość występowania</w:t>
            </w:r>
          </w:p>
        </w:tc>
        <w:tc>
          <w:tcPr>
            <w:tcW w:w="4568" w:type="dxa"/>
          </w:tcPr>
          <w:p w14:paraId="44CFA5A9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1D7">
              <w:rPr>
                <w:rFonts w:ascii="Times New Roman" w:hAnsi="Times New Roman"/>
                <w:b/>
              </w:rPr>
              <w:t>Działanie niepożądane</w:t>
            </w:r>
          </w:p>
        </w:tc>
      </w:tr>
      <w:tr w:rsidR="002E1BB7" w:rsidRPr="004121D7" w14:paraId="42291675" w14:textId="77777777" w:rsidTr="004121D7">
        <w:tc>
          <w:tcPr>
            <w:tcW w:w="3070" w:type="dxa"/>
            <w:vAlign w:val="center"/>
          </w:tcPr>
          <w:p w14:paraId="143ED5A8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 xml:space="preserve">Zakażenia i </w:t>
            </w:r>
            <w:r>
              <w:rPr>
                <w:rFonts w:ascii="Times New Roman" w:hAnsi="Times New Roman"/>
              </w:rPr>
              <w:t>zarażenia pasożytnicze</w:t>
            </w:r>
          </w:p>
        </w:tc>
        <w:tc>
          <w:tcPr>
            <w:tcW w:w="1574" w:type="dxa"/>
            <w:vAlign w:val="center"/>
          </w:tcPr>
          <w:p w14:paraId="49975716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Bardzo rzadko</w:t>
            </w:r>
          </w:p>
        </w:tc>
        <w:tc>
          <w:tcPr>
            <w:tcW w:w="4568" w:type="dxa"/>
          </w:tcPr>
          <w:p w14:paraId="4DF4C4A7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 xml:space="preserve">Zgłaszano nasilenie zapaleń związanych z zakażeniem w relacji czasowej ze stosowaniem NLPZ. Może to być związane z mechanizmem działania NLPZ. </w:t>
            </w:r>
          </w:p>
        </w:tc>
      </w:tr>
      <w:tr w:rsidR="002E1BB7" w:rsidRPr="004121D7" w14:paraId="273A8A13" w14:textId="77777777" w:rsidTr="004121D7">
        <w:tc>
          <w:tcPr>
            <w:tcW w:w="3070" w:type="dxa"/>
            <w:vAlign w:val="center"/>
          </w:tcPr>
          <w:p w14:paraId="3D4F4D89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 xml:space="preserve">Zaburzenia krwi i układu </w:t>
            </w:r>
            <w:r>
              <w:rPr>
                <w:rFonts w:ascii="Times New Roman" w:hAnsi="Times New Roman"/>
              </w:rPr>
              <w:t>chłonnego</w:t>
            </w:r>
          </w:p>
        </w:tc>
        <w:tc>
          <w:tcPr>
            <w:tcW w:w="1574" w:type="dxa"/>
            <w:vAlign w:val="center"/>
          </w:tcPr>
          <w:p w14:paraId="265E621A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Bardzo rzadko</w:t>
            </w:r>
          </w:p>
        </w:tc>
        <w:tc>
          <w:tcPr>
            <w:tcW w:w="4568" w:type="dxa"/>
          </w:tcPr>
          <w:p w14:paraId="0DE6576A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Trombopenia</w:t>
            </w:r>
          </w:p>
          <w:p w14:paraId="58B43A6C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Leukopenia</w:t>
            </w:r>
          </w:p>
          <w:p w14:paraId="153234ED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Niedokrwistość (w tym niedokrwistość hemolityczna i aplastyczna)</w:t>
            </w:r>
          </w:p>
          <w:p w14:paraId="42252CF5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Agranulocytoza</w:t>
            </w:r>
          </w:p>
        </w:tc>
      </w:tr>
      <w:tr w:rsidR="002E1BB7" w:rsidRPr="004121D7" w14:paraId="078D1264" w14:textId="77777777" w:rsidTr="004121D7">
        <w:tc>
          <w:tcPr>
            <w:tcW w:w="3070" w:type="dxa"/>
            <w:vMerge w:val="restart"/>
            <w:vAlign w:val="center"/>
          </w:tcPr>
          <w:p w14:paraId="0BCFB0EE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Zaburzenia układu immunologicznego</w:t>
            </w:r>
          </w:p>
        </w:tc>
        <w:tc>
          <w:tcPr>
            <w:tcW w:w="1574" w:type="dxa"/>
            <w:vAlign w:val="center"/>
          </w:tcPr>
          <w:p w14:paraId="39C34C84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Rzadko</w:t>
            </w:r>
          </w:p>
        </w:tc>
        <w:tc>
          <w:tcPr>
            <w:tcW w:w="4568" w:type="dxa"/>
          </w:tcPr>
          <w:p w14:paraId="145B2452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Reakcje nadwrażliwości, reakcje anafilaktyczne</w:t>
            </w:r>
            <w:r>
              <w:rPr>
                <w:rFonts w:ascii="Times New Roman" w:hAnsi="Times New Roman"/>
              </w:rPr>
              <w:t xml:space="preserve"> lub</w:t>
            </w:r>
            <w:r w:rsidRPr="004121D7">
              <w:rPr>
                <w:rFonts w:ascii="Times New Roman" w:hAnsi="Times New Roman"/>
              </w:rPr>
              <w:t xml:space="preserve"> rzekomoanafilaktyczne (w tym niedociśnienie</w:t>
            </w:r>
            <w:r>
              <w:rPr>
                <w:rFonts w:ascii="Times New Roman" w:hAnsi="Times New Roman"/>
              </w:rPr>
              <w:t xml:space="preserve"> </w:t>
            </w:r>
            <w:r w:rsidRPr="004121D7">
              <w:rPr>
                <w:rFonts w:ascii="Times New Roman" w:hAnsi="Times New Roman"/>
              </w:rPr>
              <w:t>i wstrząs)</w:t>
            </w:r>
          </w:p>
        </w:tc>
      </w:tr>
      <w:tr w:rsidR="002E1BB7" w:rsidRPr="004121D7" w14:paraId="1A5E61C0" w14:textId="77777777" w:rsidTr="004121D7">
        <w:tc>
          <w:tcPr>
            <w:tcW w:w="3070" w:type="dxa"/>
            <w:vMerge/>
            <w:vAlign w:val="center"/>
          </w:tcPr>
          <w:p w14:paraId="4A074D6F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center"/>
          </w:tcPr>
          <w:p w14:paraId="153283A1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Bardzo rzadko</w:t>
            </w:r>
          </w:p>
        </w:tc>
        <w:tc>
          <w:tcPr>
            <w:tcW w:w="4568" w:type="dxa"/>
          </w:tcPr>
          <w:p w14:paraId="4DF064F8" w14:textId="6B61B9A5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Obrzęk naczynioruchowy (w tym obrzęk twarzy)</w:t>
            </w:r>
          </w:p>
        </w:tc>
      </w:tr>
      <w:tr w:rsidR="002E1BB7" w:rsidRPr="004121D7" w14:paraId="1ECAF1A8" w14:textId="77777777" w:rsidTr="004121D7">
        <w:tc>
          <w:tcPr>
            <w:tcW w:w="3070" w:type="dxa"/>
            <w:vAlign w:val="center"/>
          </w:tcPr>
          <w:p w14:paraId="31D8CC8E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Zaburzenia psychiczne</w:t>
            </w:r>
          </w:p>
        </w:tc>
        <w:tc>
          <w:tcPr>
            <w:tcW w:w="1574" w:type="dxa"/>
            <w:vAlign w:val="center"/>
          </w:tcPr>
          <w:p w14:paraId="652C3A33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Bardzo rzadko</w:t>
            </w:r>
          </w:p>
        </w:tc>
        <w:tc>
          <w:tcPr>
            <w:tcW w:w="4568" w:type="dxa"/>
          </w:tcPr>
          <w:p w14:paraId="6CC1B5D4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Dezorientacja</w:t>
            </w:r>
          </w:p>
          <w:p w14:paraId="5E697728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Depresja</w:t>
            </w:r>
          </w:p>
          <w:p w14:paraId="0F0D1E2A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 xml:space="preserve">Bezsenność, koszmary </w:t>
            </w:r>
            <w:r>
              <w:rPr>
                <w:rFonts w:ascii="Times New Roman" w:hAnsi="Times New Roman"/>
              </w:rPr>
              <w:t>senne</w:t>
            </w:r>
          </w:p>
          <w:p w14:paraId="054AE291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Drażliwość</w:t>
            </w:r>
          </w:p>
          <w:p w14:paraId="24E275B9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Reakcje psychotyczne</w:t>
            </w:r>
          </w:p>
        </w:tc>
      </w:tr>
      <w:tr w:rsidR="002E1BB7" w:rsidRPr="004121D7" w14:paraId="5EE45E0E" w14:textId="77777777" w:rsidTr="004121D7">
        <w:tc>
          <w:tcPr>
            <w:tcW w:w="3070" w:type="dxa"/>
            <w:vMerge w:val="restart"/>
            <w:vAlign w:val="center"/>
          </w:tcPr>
          <w:p w14:paraId="6AA57D64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Zaburzenia układu nerwowego</w:t>
            </w:r>
          </w:p>
        </w:tc>
        <w:tc>
          <w:tcPr>
            <w:tcW w:w="1574" w:type="dxa"/>
            <w:vAlign w:val="center"/>
          </w:tcPr>
          <w:p w14:paraId="69C84A7B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Często</w:t>
            </w:r>
          </w:p>
        </w:tc>
        <w:tc>
          <w:tcPr>
            <w:tcW w:w="4568" w:type="dxa"/>
          </w:tcPr>
          <w:p w14:paraId="43DE32C4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Ból głowy</w:t>
            </w:r>
          </w:p>
          <w:p w14:paraId="3E4E5A20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Zawroty głowy, zmęczenie, senność</w:t>
            </w:r>
          </w:p>
        </w:tc>
      </w:tr>
      <w:tr w:rsidR="002E1BB7" w:rsidRPr="004121D7" w14:paraId="22C6B645" w14:textId="77777777" w:rsidTr="004121D7">
        <w:tc>
          <w:tcPr>
            <w:tcW w:w="3070" w:type="dxa"/>
            <w:vMerge/>
            <w:vAlign w:val="center"/>
          </w:tcPr>
          <w:p w14:paraId="79F93685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center"/>
          </w:tcPr>
          <w:p w14:paraId="68AD7AAF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Bardzo rzadko</w:t>
            </w:r>
          </w:p>
        </w:tc>
        <w:tc>
          <w:tcPr>
            <w:tcW w:w="4568" w:type="dxa"/>
          </w:tcPr>
          <w:p w14:paraId="62487AD7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Parestezje</w:t>
            </w:r>
          </w:p>
          <w:p w14:paraId="119D8032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Zaburzenia smaku</w:t>
            </w:r>
          </w:p>
          <w:p w14:paraId="624BBBD4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Zaburzenia pamięci</w:t>
            </w:r>
          </w:p>
          <w:p w14:paraId="0E71A0AA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Drgawki</w:t>
            </w:r>
          </w:p>
          <w:p w14:paraId="382D5BC5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Drżenie</w:t>
            </w:r>
          </w:p>
          <w:p w14:paraId="3F266F61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Lęk</w:t>
            </w:r>
          </w:p>
          <w:p w14:paraId="408BBBC6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Aseptyczne zapalenie opon mózgowych</w:t>
            </w:r>
          </w:p>
          <w:p w14:paraId="4BAF651C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Zdarzenia mózgowo-naczyniowe</w:t>
            </w:r>
          </w:p>
        </w:tc>
      </w:tr>
      <w:tr w:rsidR="002E1BB7" w:rsidRPr="004121D7" w14:paraId="0FF51BF1" w14:textId="77777777" w:rsidTr="004121D7">
        <w:tc>
          <w:tcPr>
            <w:tcW w:w="3070" w:type="dxa"/>
            <w:vMerge/>
            <w:vAlign w:val="center"/>
          </w:tcPr>
          <w:p w14:paraId="3C4B3967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center"/>
          </w:tcPr>
          <w:p w14:paraId="2CE5F112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Częstość nieznana</w:t>
            </w:r>
          </w:p>
        </w:tc>
        <w:tc>
          <w:tcPr>
            <w:tcW w:w="4568" w:type="dxa"/>
          </w:tcPr>
          <w:p w14:paraId="0C5E126A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Długot</w:t>
            </w:r>
            <w:r>
              <w:rPr>
                <w:rFonts w:ascii="Times New Roman" w:hAnsi="Times New Roman"/>
              </w:rPr>
              <w:t>r</w:t>
            </w:r>
            <w:r w:rsidRPr="004121D7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ał</w:t>
            </w:r>
            <w:r w:rsidRPr="004121D7">
              <w:rPr>
                <w:rFonts w:ascii="Times New Roman" w:hAnsi="Times New Roman"/>
              </w:rPr>
              <w:t>e stosowanie (ponad 6 do 12 miesięcy) witaminy B</w:t>
            </w:r>
            <w:r w:rsidRPr="004121D7">
              <w:rPr>
                <w:rFonts w:ascii="Times New Roman" w:hAnsi="Times New Roman"/>
                <w:vertAlign w:val="subscript"/>
              </w:rPr>
              <w:t>6</w:t>
            </w:r>
            <w:r w:rsidRPr="004121D7">
              <w:rPr>
                <w:rFonts w:ascii="Times New Roman" w:hAnsi="Times New Roman"/>
              </w:rPr>
              <w:t xml:space="preserve"> w dawkach przekraczających 50 mg na dobę może powodować neuropatię obwodową.</w:t>
            </w:r>
          </w:p>
        </w:tc>
      </w:tr>
      <w:tr w:rsidR="002E1BB7" w:rsidRPr="004121D7" w14:paraId="7EE46181" w14:textId="77777777" w:rsidTr="004121D7">
        <w:tc>
          <w:tcPr>
            <w:tcW w:w="3070" w:type="dxa"/>
            <w:vAlign w:val="center"/>
          </w:tcPr>
          <w:p w14:paraId="493D9F34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Zaburzenia oka</w:t>
            </w:r>
          </w:p>
        </w:tc>
        <w:tc>
          <w:tcPr>
            <w:tcW w:w="1574" w:type="dxa"/>
            <w:vAlign w:val="center"/>
          </w:tcPr>
          <w:p w14:paraId="5C115FA3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Niezbyt często</w:t>
            </w:r>
          </w:p>
        </w:tc>
        <w:tc>
          <w:tcPr>
            <w:tcW w:w="4568" w:type="dxa"/>
          </w:tcPr>
          <w:p w14:paraId="218ED093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Zaburzenia widzenia (</w:t>
            </w:r>
            <w:r>
              <w:rPr>
                <w:rFonts w:ascii="Times New Roman" w:hAnsi="Times New Roman"/>
              </w:rPr>
              <w:t>niewyraźne</w:t>
            </w:r>
            <w:r w:rsidRPr="004121D7">
              <w:rPr>
                <w:rFonts w:ascii="Times New Roman" w:hAnsi="Times New Roman"/>
              </w:rPr>
              <w:t xml:space="preserve"> widzenie, podwójne widzenie)</w:t>
            </w:r>
          </w:p>
        </w:tc>
      </w:tr>
      <w:tr w:rsidR="002E1BB7" w:rsidRPr="004121D7" w14:paraId="6C43710C" w14:textId="77777777" w:rsidTr="004121D7">
        <w:tc>
          <w:tcPr>
            <w:tcW w:w="3070" w:type="dxa"/>
            <w:vAlign w:val="center"/>
          </w:tcPr>
          <w:p w14:paraId="1A7D845B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lastRenderedPageBreak/>
              <w:t>Zaburzenia ucha i błędnika</w:t>
            </w:r>
          </w:p>
        </w:tc>
        <w:tc>
          <w:tcPr>
            <w:tcW w:w="1574" w:type="dxa"/>
            <w:vAlign w:val="center"/>
          </w:tcPr>
          <w:p w14:paraId="5C4B5F83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Rzadko</w:t>
            </w:r>
          </w:p>
        </w:tc>
        <w:tc>
          <w:tcPr>
            <w:tcW w:w="4568" w:type="dxa"/>
          </w:tcPr>
          <w:p w14:paraId="529C173B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4121D7">
              <w:rPr>
                <w:rFonts w:ascii="Times New Roman" w:hAnsi="Times New Roman"/>
              </w:rPr>
              <w:t>aburzenia słuchu</w:t>
            </w:r>
          </w:p>
          <w:p w14:paraId="493408D3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Szum</w:t>
            </w:r>
            <w:r>
              <w:rPr>
                <w:rFonts w:ascii="Times New Roman" w:hAnsi="Times New Roman"/>
              </w:rPr>
              <w:t>y</w:t>
            </w:r>
            <w:r w:rsidRPr="004121D7">
              <w:rPr>
                <w:rFonts w:ascii="Times New Roman" w:hAnsi="Times New Roman"/>
              </w:rPr>
              <w:t xml:space="preserve"> uszn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D65F64" w:rsidRPr="004121D7" w14:paraId="0ECD5C07" w14:textId="77777777" w:rsidTr="0046253E">
        <w:tc>
          <w:tcPr>
            <w:tcW w:w="3070" w:type="dxa"/>
            <w:vMerge w:val="restart"/>
            <w:vAlign w:val="center"/>
          </w:tcPr>
          <w:p w14:paraId="7254D6DD" w14:textId="77777777" w:rsidR="00D65F64" w:rsidRPr="004121D7" w:rsidRDefault="00D65F64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Zaburzenia serca</w:t>
            </w:r>
          </w:p>
        </w:tc>
        <w:tc>
          <w:tcPr>
            <w:tcW w:w="1574" w:type="dxa"/>
            <w:vAlign w:val="center"/>
          </w:tcPr>
          <w:p w14:paraId="3BC3BFB7" w14:textId="77777777" w:rsidR="00D65F64" w:rsidRPr="004121D7" w:rsidRDefault="00D65F64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Bardzo rzadko</w:t>
            </w:r>
          </w:p>
        </w:tc>
        <w:tc>
          <w:tcPr>
            <w:tcW w:w="4568" w:type="dxa"/>
          </w:tcPr>
          <w:p w14:paraId="5F9EAAD1" w14:textId="77777777" w:rsidR="00D65F64" w:rsidRPr="004121D7" w:rsidRDefault="00D65F64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Kołatanie</w:t>
            </w:r>
            <w:r>
              <w:rPr>
                <w:rFonts w:ascii="Times New Roman" w:hAnsi="Times New Roman"/>
              </w:rPr>
              <w:t xml:space="preserve"> serca</w:t>
            </w:r>
          </w:p>
          <w:p w14:paraId="650BFDDF" w14:textId="77777777" w:rsidR="00D65F64" w:rsidRPr="004121D7" w:rsidRDefault="00D65F64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Ból w klatce piersiowej</w:t>
            </w:r>
          </w:p>
          <w:p w14:paraId="18174E13" w14:textId="77777777" w:rsidR="00D65F64" w:rsidRPr="004121D7" w:rsidRDefault="00D65F64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Niewydolność serca</w:t>
            </w:r>
          </w:p>
          <w:p w14:paraId="511ADE42" w14:textId="77777777" w:rsidR="00D65F64" w:rsidRPr="004121D7" w:rsidRDefault="00D65F64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Zawał mięśnia sercowego</w:t>
            </w:r>
          </w:p>
        </w:tc>
      </w:tr>
      <w:tr w:rsidR="00D65F64" w:rsidRPr="004121D7" w14:paraId="116173EA" w14:textId="77777777" w:rsidTr="004121D7">
        <w:tc>
          <w:tcPr>
            <w:tcW w:w="3070" w:type="dxa"/>
            <w:vMerge/>
            <w:vAlign w:val="center"/>
          </w:tcPr>
          <w:p w14:paraId="115C49EA" w14:textId="77777777" w:rsidR="00D65F64" w:rsidRPr="004121D7" w:rsidRDefault="00D65F64" w:rsidP="00412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center"/>
          </w:tcPr>
          <w:p w14:paraId="1C8C5819" w14:textId="1F4CE722" w:rsidR="00D65F64" w:rsidRPr="004121D7" w:rsidRDefault="00D65F64" w:rsidP="00412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Częstość nieznana</w:t>
            </w:r>
          </w:p>
        </w:tc>
        <w:tc>
          <w:tcPr>
            <w:tcW w:w="4568" w:type="dxa"/>
          </w:tcPr>
          <w:p w14:paraId="4F1C7280" w14:textId="729AC2C4" w:rsidR="00D65F64" w:rsidRPr="004121D7" w:rsidRDefault="00D65F64" w:rsidP="00412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Kounisa</w:t>
            </w:r>
          </w:p>
        </w:tc>
      </w:tr>
      <w:tr w:rsidR="002E1BB7" w:rsidRPr="004121D7" w14:paraId="5498151D" w14:textId="77777777" w:rsidTr="004121D7">
        <w:tc>
          <w:tcPr>
            <w:tcW w:w="3070" w:type="dxa"/>
            <w:vAlign w:val="center"/>
          </w:tcPr>
          <w:p w14:paraId="7750280B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Zaburzenia naczy</w:t>
            </w:r>
            <w:r>
              <w:rPr>
                <w:rFonts w:ascii="Times New Roman" w:hAnsi="Times New Roman"/>
              </w:rPr>
              <w:t>niowe</w:t>
            </w:r>
          </w:p>
        </w:tc>
        <w:tc>
          <w:tcPr>
            <w:tcW w:w="1574" w:type="dxa"/>
            <w:vAlign w:val="center"/>
          </w:tcPr>
          <w:p w14:paraId="591D3457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Bardzo rzadko</w:t>
            </w:r>
          </w:p>
        </w:tc>
        <w:tc>
          <w:tcPr>
            <w:tcW w:w="4568" w:type="dxa"/>
          </w:tcPr>
          <w:p w14:paraId="506DE1AB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Nadciśnienie</w:t>
            </w:r>
            <w:r>
              <w:rPr>
                <w:rFonts w:ascii="Times New Roman" w:hAnsi="Times New Roman"/>
              </w:rPr>
              <w:t xml:space="preserve"> tętnicze</w:t>
            </w:r>
          </w:p>
          <w:p w14:paraId="227744D3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Zapalenie naczyń</w:t>
            </w:r>
          </w:p>
        </w:tc>
      </w:tr>
      <w:tr w:rsidR="002E1BB7" w:rsidRPr="004121D7" w14:paraId="7530D86F" w14:textId="77777777" w:rsidTr="004121D7">
        <w:tc>
          <w:tcPr>
            <w:tcW w:w="3070" w:type="dxa"/>
            <w:vMerge w:val="restart"/>
            <w:vAlign w:val="center"/>
          </w:tcPr>
          <w:p w14:paraId="696ED7CB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Zaburzenia oddychania, klatki piersiowej i śródpiersia</w:t>
            </w:r>
          </w:p>
        </w:tc>
        <w:tc>
          <w:tcPr>
            <w:tcW w:w="1574" w:type="dxa"/>
            <w:vAlign w:val="center"/>
          </w:tcPr>
          <w:p w14:paraId="5C5973EA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Rzadko</w:t>
            </w:r>
          </w:p>
        </w:tc>
        <w:tc>
          <w:tcPr>
            <w:tcW w:w="4568" w:type="dxa"/>
          </w:tcPr>
          <w:p w14:paraId="6EC0CACC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Astma (w tym duszność)</w:t>
            </w:r>
          </w:p>
        </w:tc>
      </w:tr>
      <w:tr w:rsidR="002E1BB7" w:rsidRPr="004121D7" w14:paraId="017498B6" w14:textId="77777777" w:rsidTr="004121D7">
        <w:tc>
          <w:tcPr>
            <w:tcW w:w="3070" w:type="dxa"/>
            <w:vMerge/>
            <w:vAlign w:val="center"/>
          </w:tcPr>
          <w:p w14:paraId="6DEC22EB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center"/>
          </w:tcPr>
          <w:p w14:paraId="1704704F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Bardzo rzadko</w:t>
            </w:r>
          </w:p>
        </w:tc>
        <w:tc>
          <w:tcPr>
            <w:tcW w:w="4568" w:type="dxa"/>
          </w:tcPr>
          <w:p w14:paraId="20553F92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Zapalenie płuc</w:t>
            </w:r>
          </w:p>
        </w:tc>
      </w:tr>
      <w:tr w:rsidR="002E1BB7" w:rsidRPr="004121D7" w14:paraId="1CFD04ED" w14:textId="77777777" w:rsidTr="004121D7">
        <w:tc>
          <w:tcPr>
            <w:tcW w:w="3070" w:type="dxa"/>
            <w:vMerge w:val="restart"/>
            <w:vAlign w:val="center"/>
          </w:tcPr>
          <w:p w14:paraId="71133B55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Zaburzenia żołądka i jelit</w:t>
            </w:r>
          </w:p>
        </w:tc>
        <w:tc>
          <w:tcPr>
            <w:tcW w:w="1574" w:type="dxa"/>
            <w:vAlign w:val="center"/>
          </w:tcPr>
          <w:p w14:paraId="09D81515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Bardzo często</w:t>
            </w:r>
          </w:p>
        </w:tc>
        <w:tc>
          <w:tcPr>
            <w:tcW w:w="4568" w:type="dxa"/>
          </w:tcPr>
          <w:p w14:paraId="41AD868B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Nudności, wymioty, biegunka</w:t>
            </w:r>
          </w:p>
          <w:p w14:paraId="390F5A03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Małe krwawienie</w:t>
            </w:r>
          </w:p>
        </w:tc>
      </w:tr>
      <w:tr w:rsidR="002E1BB7" w:rsidRPr="004121D7" w14:paraId="574292C7" w14:textId="77777777" w:rsidTr="004121D7">
        <w:tc>
          <w:tcPr>
            <w:tcW w:w="3070" w:type="dxa"/>
            <w:vMerge/>
            <w:vAlign w:val="center"/>
          </w:tcPr>
          <w:p w14:paraId="31B2B7CA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center"/>
          </w:tcPr>
          <w:p w14:paraId="304182FF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Często</w:t>
            </w:r>
          </w:p>
        </w:tc>
        <w:tc>
          <w:tcPr>
            <w:tcW w:w="4568" w:type="dxa"/>
          </w:tcPr>
          <w:p w14:paraId="5C4B3678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Niestrawność</w:t>
            </w:r>
          </w:p>
          <w:p w14:paraId="4C757E86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Ból brzucha</w:t>
            </w:r>
          </w:p>
          <w:p w14:paraId="5283A7DB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Wzdęcia</w:t>
            </w:r>
          </w:p>
          <w:p w14:paraId="1FCB59D9" w14:textId="1F1BDBBD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Anoreksja</w:t>
            </w:r>
          </w:p>
        </w:tc>
      </w:tr>
      <w:tr w:rsidR="002E1BB7" w:rsidRPr="004121D7" w14:paraId="41C1DF21" w14:textId="77777777" w:rsidTr="004121D7">
        <w:tc>
          <w:tcPr>
            <w:tcW w:w="3070" w:type="dxa"/>
            <w:vMerge/>
            <w:vAlign w:val="center"/>
          </w:tcPr>
          <w:p w14:paraId="3005B7EE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center"/>
          </w:tcPr>
          <w:p w14:paraId="666E04EB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Rzadko</w:t>
            </w:r>
          </w:p>
        </w:tc>
        <w:tc>
          <w:tcPr>
            <w:tcW w:w="4568" w:type="dxa"/>
          </w:tcPr>
          <w:p w14:paraId="25BF94F2" w14:textId="065D296D" w:rsidR="002E1BB7" w:rsidRPr="004121D7" w:rsidRDefault="002E1BB7" w:rsidP="00744A40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 xml:space="preserve">Nieżyt żołądka, krwawe wymioty, krwawienie z przewodu pokarmowego, krwawa biegunka, krew w kale, wrzód w układzie </w:t>
            </w:r>
            <w:r w:rsidR="00744A40" w:rsidRPr="00744A40">
              <w:rPr>
                <w:rFonts w:ascii="Times New Roman" w:hAnsi="Times New Roman"/>
              </w:rPr>
              <w:t>pokarmow</w:t>
            </w:r>
            <w:r w:rsidR="00744A40">
              <w:rPr>
                <w:rFonts w:ascii="Times New Roman" w:hAnsi="Times New Roman"/>
              </w:rPr>
              <w:t>ym</w:t>
            </w:r>
            <w:r w:rsidR="00744A40" w:rsidRPr="00744A40" w:rsidDel="00744A40">
              <w:rPr>
                <w:rFonts w:ascii="Times New Roman" w:hAnsi="Times New Roman"/>
              </w:rPr>
              <w:t xml:space="preserve"> </w:t>
            </w:r>
            <w:r w:rsidRPr="004121D7">
              <w:rPr>
                <w:rFonts w:ascii="Times New Roman" w:hAnsi="Times New Roman"/>
              </w:rPr>
              <w:t>(z lub bez krwawienia lub perforacji)</w:t>
            </w:r>
          </w:p>
        </w:tc>
      </w:tr>
      <w:tr w:rsidR="002E1BB7" w:rsidRPr="004121D7" w14:paraId="7DD23345" w14:textId="77777777" w:rsidTr="004121D7">
        <w:tc>
          <w:tcPr>
            <w:tcW w:w="3070" w:type="dxa"/>
            <w:vMerge/>
            <w:vAlign w:val="center"/>
          </w:tcPr>
          <w:p w14:paraId="4599DF50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center"/>
          </w:tcPr>
          <w:p w14:paraId="3B18D03D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Bardzo rzadko</w:t>
            </w:r>
          </w:p>
        </w:tc>
        <w:tc>
          <w:tcPr>
            <w:tcW w:w="4568" w:type="dxa"/>
          </w:tcPr>
          <w:p w14:paraId="41F97546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Zapalenie okrężnicy (w tym krwotoczne zapalenie okrężnicy i zaostrzenie wrzodziejącego zapalenia okrężnicy lub choroby Leśniowskiego-Crohna)</w:t>
            </w:r>
          </w:p>
          <w:p w14:paraId="1A14D25A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Zaparcie</w:t>
            </w:r>
          </w:p>
          <w:p w14:paraId="2BD68AF5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Zapalenie jamy ustnej (w tym wrzodziejące zapalenie jamy ustnej), zapalenie języka</w:t>
            </w:r>
          </w:p>
          <w:p w14:paraId="609D9EB0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Uszkodzenia przełyku</w:t>
            </w:r>
          </w:p>
          <w:p w14:paraId="19DD9CEF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Przeponopodobne z</w:t>
            </w:r>
            <w:r w:rsidRPr="004121D7">
              <w:rPr>
                <w:rFonts w:ascii="Times New Roman" w:hAnsi="Times New Roman"/>
              </w:rPr>
              <w:t>wężenie jelit (po doustnym podaniu diklofenaku)</w:t>
            </w:r>
          </w:p>
          <w:p w14:paraId="65DA2BE1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Zapalenie trzustki</w:t>
            </w:r>
          </w:p>
        </w:tc>
      </w:tr>
      <w:tr w:rsidR="002E1BB7" w:rsidRPr="004121D7" w14:paraId="7224A0BD" w14:textId="77777777" w:rsidTr="004121D7">
        <w:tc>
          <w:tcPr>
            <w:tcW w:w="3070" w:type="dxa"/>
            <w:vMerge/>
            <w:vAlign w:val="center"/>
          </w:tcPr>
          <w:p w14:paraId="0405EAC9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center"/>
          </w:tcPr>
          <w:p w14:paraId="720CD94A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Częstość nieznana</w:t>
            </w:r>
          </w:p>
        </w:tc>
        <w:tc>
          <w:tcPr>
            <w:tcW w:w="4568" w:type="dxa"/>
          </w:tcPr>
          <w:p w14:paraId="71F8D587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153C94">
              <w:rPr>
                <w:rFonts w:ascii="Times New Roman" w:hAnsi="Times New Roman"/>
              </w:rPr>
              <w:t>Niedokrwienne zapalenie okrężnicy</w:t>
            </w:r>
          </w:p>
        </w:tc>
      </w:tr>
      <w:tr w:rsidR="002E1BB7" w:rsidRPr="004121D7" w14:paraId="19BA825F" w14:textId="77777777" w:rsidTr="004121D7">
        <w:tc>
          <w:tcPr>
            <w:tcW w:w="3070" w:type="dxa"/>
            <w:vMerge w:val="restart"/>
            <w:vAlign w:val="center"/>
          </w:tcPr>
          <w:p w14:paraId="023766E1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Zaburzenia wątroby i dróg żółciowych</w:t>
            </w:r>
          </w:p>
        </w:tc>
        <w:tc>
          <w:tcPr>
            <w:tcW w:w="1574" w:type="dxa"/>
            <w:vAlign w:val="center"/>
          </w:tcPr>
          <w:p w14:paraId="22726EBA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Często</w:t>
            </w:r>
          </w:p>
        </w:tc>
        <w:tc>
          <w:tcPr>
            <w:tcW w:w="4568" w:type="dxa"/>
          </w:tcPr>
          <w:p w14:paraId="1B0E96C3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Zaburzenia czynności wątroby (zwiększenie aktywności aminotransferaz)</w:t>
            </w:r>
          </w:p>
        </w:tc>
      </w:tr>
      <w:tr w:rsidR="002E1BB7" w:rsidRPr="004121D7" w14:paraId="7C99BF45" w14:textId="77777777" w:rsidTr="004121D7">
        <w:tc>
          <w:tcPr>
            <w:tcW w:w="3070" w:type="dxa"/>
            <w:vMerge/>
            <w:vAlign w:val="center"/>
          </w:tcPr>
          <w:p w14:paraId="23282D96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center"/>
          </w:tcPr>
          <w:p w14:paraId="57699A60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Niezbyt często</w:t>
            </w:r>
          </w:p>
        </w:tc>
        <w:tc>
          <w:tcPr>
            <w:tcW w:w="4568" w:type="dxa"/>
          </w:tcPr>
          <w:p w14:paraId="09542846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Zapalenie wątroby, żółtaczka, uszkodzenie wątroby</w:t>
            </w:r>
          </w:p>
        </w:tc>
      </w:tr>
      <w:tr w:rsidR="002E1BB7" w:rsidRPr="004121D7" w14:paraId="25E7885C" w14:textId="77777777" w:rsidTr="004121D7">
        <w:tc>
          <w:tcPr>
            <w:tcW w:w="3070" w:type="dxa"/>
            <w:vMerge/>
            <w:vAlign w:val="center"/>
          </w:tcPr>
          <w:p w14:paraId="314BC2F6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center"/>
          </w:tcPr>
          <w:p w14:paraId="42832BD0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Bardzo rzadko</w:t>
            </w:r>
          </w:p>
        </w:tc>
        <w:tc>
          <w:tcPr>
            <w:tcW w:w="4568" w:type="dxa"/>
          </w:tcPr>
          <w:p w14:paraId="3D34993D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Piorunujące zapalenie wątroby, martwica wątroby, niewydolność wątroby</w:t>
            </w:r>
          </w:p>
        </w:tc>
      </w:tr>
      <w:tr w:rsidR="002E1BB7" w:rsidRPr="004121D7" w14:paraId="7150DB4C" w14:textId="77777777" w:rsidTr="004121D7">
        <w:tc>
          <w:tcPr>
            <w:tcW w:w="3070" w:type="dxa"/>
            <w:vMerge w:val="restart"/>
            <w:vAlign w:val="center"/>
          </w:tcPr>
          <w:p w14:paraId="3E670B09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Zaburzenia skóry i tkanki podskórnej</w:t>
            </w:r>
          </w:p>
        </w:tc>
        <w:tc>
          <w:tcPr>
            <w:tcW w:w="1574" w:type="dxa"/>
            <w:vAlign w:val="center"/>
          </w:tcPr>
          <w:p w14:paraId="121F3B67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Często</w:t>
            </w:r>
          </w:p>
        </w:tc>
        <w:tc>
          <w:tcPr>
            <w:tcW w:w="4568" w:type="dxa"/>
          </w:tcPr>
          <w:p w14:paraId="53369DCE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Wysypka, świąd</w:t>
            </w:r>
          </w:p>
        </w:tc>
      </w:tr>
      <w:tr w:rsidR="002E1BB7" w:rsidRPr="004121D7" w14:paraId="402EC022" w14:textId="77777777" w:rsidTr="004121D7">
        <w:tc>
          <w:tcPr>
            <w:tcW w:w="3070" w:type="dxa"/>
            <w:vMerge/>
            <w:vAlign w:val="center"/>
          </w:tcPr>
          <w:p w14:paraId="45F9EF4A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center"/>
          </w:tcPr>
          <w:p w14:paraId="205DCD51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Niezbyt często</w:t>
            </w:r>
          </w:p>
        </w:tc>
        <w:tc>
          <w:tcPr>
            <w:tcW w:w="4568" w:type="dxa"/>
          </w:tcPr>
          <w:p w14:paraId="499A5153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Pokrzywka</w:t>
            </w:r>
          </w:p>
        </w:tc>
      </w:tr>
      <w:tr w:rsidR="002E1BB7" w:rsidRPr="004121D7" w14:paraId="70045ABD" w14:textId="77777777" w:rsidTr="004121D7">
        <w:tc>
          <w:tcPr>
            <w:tcW w:w="3070" w:type="dxa"/>
            <w:vMerge/>
            <w:vAlign w:val="center"/>
          </w:tcPr>
          <w:p w14:paraId="5C8DB02B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center"/>
          </w:tcPr>
          <w:p w14:paraId="42AC36F7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Bardzo rzadko</w:t>
            </w:r>
          </w:p>
        </w:tc>
        <w:tc>
          <w:tcPr>
            <w:tcW w:w="4568" w:type="dxa"/>
          </w:tcPr>
          <w:p w14:paraId="63C5774C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Wysypka pęcherzowa</w:t>
            </w:r>
          </w:p>
          <w:p w14:paraId="297E8916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Wyprysk, rumień</w:t>
            </w:r>
          </w:p>
          <w:p w14:paraId="765DC8BC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Rumień wielopostaciowy, zespół Stevensa-Johnsona</w:t>
            </w:r>
            <w:r w:rsidRPr="00DE20C1">
              <w:rPr>
                <w:rFonts w:ascii="Times New Roman" w:hAnsi="Times New Roman"/>
              </w:rPr>
              <w:t xml:space="preserve">, </w:t>
            </w:r>
            <w:r w:rsidRPr="00982444">
              <w:rPr>
                <w:rFonts w:ascii="Times New Roman" w:hAnsi="Times New Roman"/>
                <w:bCs/>
              </w:rPr>
              <w:t>toksyczne martwicze oddzielanie się</w:t>
            </w:r>
            <w:r w:rsidRPr="002950FB">
              <w:rPr>
                <w:bCs/>
              </w:rPr>
              <w:t xml:space="preserve"> </w:t>
            </w:r>
            <w:r w:rsidRPr="004121D7">
              <w:rPr>
                <w:rFonts w:ascii="Times New Roman" w:hAnsi="Times New Roman"/>
              </w:rPr>
              <w:t>naskórka (zespół Lyella), złuszczające zapalenie skóry</w:t>
            </w:r>
          </w:p>
          <w:p w14:paraId="06EAD9E6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Łysienie</w:t>
            </w:r>
          </w:p>
          <w:p w14:paraId="7AB5FAEF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Reakcje nadwrażliwości na światło</w:t>
            </w:r>
          </w:p>
          <w:p w14:paraId="32688D60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Plamica, plamica alergiczna</w:t>
            </w:r>
          </w:p>
        </w:tc>
      </w:tr>
      <w:tr w:rsidR="002E1BB7" w:rsidRPr="004121D7" w14:paraId="2B38888E" w14:textId="77777777" w:rsidTr="004121D7">
        <w:tc>
          <w:tcPr>
            <w:tcW w:w="3070" w:type="dxa"/>
            <w:vAlign w:val="center"/>
          </w:tcPr>
          <w:p w14:paraId="7219EDB5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Zaburzenia nerek i dróg moczowych</w:t>
            </w:r>
          </w:p>
        </w:tc>
        <w:tc>
          <w:tcPr>
            <w:tcW w:w="1574" w:type="dxa"/>
            <w:vAlign w:val="center"/>
          </w:tcPr>
          <w:p w14:paraId="67C12C11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Bardzo rzadko</w:t>
            </w:r>
          </w:p>
        </w:tc>
        <w:tc>
          <w:tcPr>
            <w:tcW w:w="4568" w:type="dxa"/>
          </w:tcPr>
          <w:p w14:paraId="78C476FE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Ostra niewydolność nerek</w:t>
            </w:r>
          </w:p>
          <w:p w14:paraId="2415E0EA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Krwiomocz</w:t>
            </w:r>
          </w:p>
          <w:p w14:paraId="7662478C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lastRenderedPageBreak/>
              <w:t>Białkomocz</w:t>
            </w:r>
          </w:p>
          <w:p w14:paraId="335FBE32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Zespół nerczycowy</w:t>
            </w:r>
          </w:p>
          <w:p w14:paraId="7B105336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Śródmiąższowe zapalenie nerek</w:t>
            </w:r>
          </w:p>
          <w:p w14:paraId="3C5530A9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Martwica brodawek nerkowych</w:t>
            </w:r>
          </w:p>
        </w:tc>
      </w:tr>
      <w:tr w:rsidR="002E1BB7" w:rsidRPr="004121D7" w14:paraId="70E79ED6" w14:textId="77777777" w:rsidTr="004121D7">
        <w:tc>
          <w:tcPr>
            <w:tcW w:w="3070" w:type="dxa"/>
            <w:vAlign w:val="center"/>
          </w:tcPr>
          <w:p w14:paraId="32DB7C2A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lastRenderedPageBreak/>
              <w:t>Zaburzenia ogólne i stany w miejscu podania</w:t>
            </w:r>
          </w:p>
        </w:tc>
        <w:tc>
          <w:tcPr>
            <w:tcW w:w="1574" w:type="dxa"/>
            <w:vAlign w:val="center"/>
          </w:tcPr>
          <w:p w14:paraId="29372329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Rzadko</w:t>
            </w:r>
          </w:p>
        </w:tc>
        <w:tc>
          <w:tcPr>
            <w:tcW w:w="4568" w:type="dxa"/>
          </w:tcPr>
          <w:p w14:paraId="434CB5CF" w14:textId="77777777" w:rsidR="002E1BB7" w:rsidRPr="004121D7" w:rsidRDefault="002E1BB7" w:rsidP="004121D7">
            <w:pPr>
              <w:spacing w:after="0" w:line="240" w:lineRule="auto"/>
              <w:rPr>
                <w:rFonts w:ascii="Times New Roman" w:hAnsi="Times New Roman"/>
              </w:rPr>
            </w:pPr>
            <w:r w:rsidRPr="004121D7">
              <w:rPr>
                <w:rFonts w:ascii="Times New Roman" w:hAnsi="Times New Roman"/>
              </w:rPr>
              <w:t>Obrzęk</w:t>
            </w:r>
          </w:p>
        </w:tc>
      </w:tr>
    </w:tbl>
    <w:p w14:paraId="00C57361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  <w:b/>
        </w:rPr>
      </w:pPr>
    </w:p>
    <w:p w14:paraId="31E7F8A0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Zgłaszanie podejrzewanych działań niepożądanych</w:t>
      </w:r>
    </w:p>
    <w:p w14:paraId="2B39E84C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Po dopuszczeniu produktu leczniczego do obrotu istotne jest zgłaszanie podejrzewanych działań </w:t>
      </w:r>
    </w:p>
    <w:p w14:paraId="6791663D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niepożądanych. Umożliwia to nieprzerwane monitorowanie stosunku korzyści do ryzyka stosowania </w:t>
      </w:r>
    </w:p>
    <w:p w14:paraId="500C2450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produktu leczniczego. Osoby należące do fachowego personelu medycznego powinny zgłaszać </w:t>
      </w:r>
    </w:p>
    <w:p w14:paraId="7CD9F3AA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wszelkie podejrzewane działania niepożądane za pośrednictwem:</w:t>
      </w:r>
    </w:p>
    <w:p w14:paraId="5065C275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Departamentu Monitorowania Niepożądanych Działań Produktów Leczniczych Urzędu Rejestracji Produktów Leczniczych, Wyrobów Medycznych i Produktów Biobójczych</w:t>
      </w:r>
    </w:p>
    <w:p w14:paraId="6AE1EC86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Al. Jerozolimskie 181 C</w:t>
      </w:r>
    </w:p>
    <w:p w14:paraId="783BD1B4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02-222 Warszawa</w:t>
      </w:r>
    </w:p>
    <w:p w14:paraId="29E8DE81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Tel.: + 48 22 49 21 301</w:t>
      </w:r>
    </w:p>
    <w:p w14:paraId="65ACB4EE" w14:textId="77777777" w:rsidR="002E1BB7" w:rsidRPr="00832094" w:rsidRDefault="002E1BB7" w:rsidP="00FE2851">
      <w:pPr>
        <w:spacing w:after="0" w:line="240" w:lineRule="auto"/>
        <w:rPr>
          <w:rFonts w:ascii="Times New Roman" w:hAnsi="Times New Roman"/>
        </w:rPr>
      </w:pPr>
      <w:r w:rsidRPr="00832094">
        <w:rPr>
          <w:rFonts w:ascii="Times New Roman" w:hAnsi="Times New Roman"/>
        </w:rPr>
        <w:t>Faks: + 48 22 49 21 309</w:t>
      </w:r>
    </w:p>
    <w:p w14:paraId="2DA605E6" w14:textId="77777777" w:rsidR="002E1BB7" w:rsidRPr="00832094" w:rsidRDefault="002E1BB7" w:rsidP="00FE2851">
      <w:pPr>
        <w:spacing w:after="0" w:line="240" w:lineRule="auto"/>
        <w:rPr>
          <w:rFonts w:ascii="Times New Roman" w:hAnsi="Times New Roman"/>
        </w:rPr>
      </w:pPr>
      <w:r w:rsidRPr="00832094">
        <w:rPr>
          <w:rFonts w:ascii="Times New Roman" w:hAnsi="Times New Roman"/>
        </w:rPr>
        <w:t>e-mail: ndl@urpl.gov.pl</w:t>
      </w:r>
    </w:p>
    <w:p w14:paraId="553D108F" w14:textId="77777777" w:rsidR="002E1BB7" w:rsidRPr="00832094" w:rsidRDefault="002E1BB7">
      <w:pPr>
        <w:tabs>
          <w:tab w:val="left" w:pos="-1843"/>
        </w:tabs>
        <w:spacing w:after="0"/>
        <w:rPr>
          <w:rFonts w:ascii="Times New Roman" w:hAnsi="Times New Roman"/>
        </w:rPr>
      </w:pPr>
    </w:p>
    <w:p w14:paraId="22B12D25" w14:textId="77777777" w:rsidR="002E1BB7" w:rsidRDefault="002E1BB7" w:rsidP="00982444">
      <w:pPr>
        <w:tabs>
          <w:tab w:val="left" w:pos="-1843"/>
        </w:tabs>
        <w:ind w:left="426" w:hanging="426"/>
        <w:rPr>
          <w:rFonts w:ascii="Times New Roman" w:hAnsi="Times New Roman"/>
          <w:b/>
        </w:rPr>
      </w:pPr>
      <w:r w:rsidRPr="00982444">
        <w:rPr>
          <w:rFonts w:ascii="Times New Roman" w:hAnsi="Times New Roman"/>
        </w:rPr>
        <w:t>Działania niepożądane można zgłaszać również podmiotowi odpowiedzialnemu.</w:t>
      </w:r>
    </w:p>
    <w:p w14:paraId="021DAD33" w14:textId="77777777" w:rsidR="002E1BB7" w:rsidRPr="00633E42" w:rsidRDefault="002E1BB7" w:rsidP="00FE285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Przedawkowanie</w:t>
      </w:r>
    </w:p>
    <w:p w14:paraId="478A3F50" w14:textId="77777777" w:rsidR="002E1BB7" w:rsidRPr="00633E42" w:rsidRDefault="002E1BB7" w:rsidP="00FE2851">
      <w:pPr>
        <w:pStyle w:val="Akapitzlist"/>
        <w:spacing w:after="0" w:line="240" w:lineRule="auto"/>
        <w:ind w:left="1068"/>
        <w:rPr>
          <w:rFonts w:ascii="Times New Roman" w:hAnsi="Times New Roman"/>
        </w:rPr>
      </w:pPr>
    </w:p>
    <w:p w14:paraId="1DABCC57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 w:rsidRPr="009010CE">
        <w:rPr>
          <w:rFonts w:ascii="Times New Roman" w:hAnsi="Times New Roman"/>
          <w:u w:val="single"/>
        </w:rPr>
        <w:t>Objawy</w:t>
      </w:r>
    </w:p>
    <w:p w14:paraId="62CADBC7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1B5E47A6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i/>
        </w:rPr>
      </w:pPr>
      <w:r w:rsidRPr="009010CE">
        <w:rPr>
          <w:rFonts w:ascii="Times New Roman" w:hAnsi="Times New Roman"/>
          <w:i/>
        </w:rPr>
        <w:t>Diklofenak</w:t>
      </w:r>
    </w:p>
    <w:p w14:paraId="0AEF636E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Nie ma typowego klinicznego obrazu przedawkowania diklofenaku. Przedawkowanie może powodować takie objawy jak wymioty, krwawienia z układu pokarmowego, biegunka, zawroty głowy, szumy uszne i drgawki. W przypadku poważnego zatrucia możliwa jest ostra niewydolnoś</w:t>
      </w:r>
      <w:r>
        <w:rPr>
          <w:rFonts w:ascii="Times New Roman" w:hAnsi="Times New Roman"/>
        </w:rPr>
        <w:t>ć</w:t>
      </w:r>
      <w:r w:rsidRPr="00633E42">
        <w:rPr>
          <w:rFonts w:ascii="Times New Roman" w:hAnsi="Times New Roman"/>
        </w:rPr>
        <w:t xml:space="preserve"> nerek i uszkodzenie wątroby jak również depresja oddechowa i sinica.</w:t>
      </w:r>
    </w:p>
    <w:p w14:paraId="1CC62850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7905451F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i/>
        </w:rPr>
      </w:pPr>
      <w:r w:rsidRPr="009010CE">
        <w:rPr>
          <w:rFonts w:ascii="Times New Roman" w:hAnsi="Times New Roman"/>
          <w:i/>
        </w:rPr>
        <w:t>Witamina B</w:t>
      </w:r>
      <w:r w:rsidRPr="009010CE">
        <w:rPr>
          <w:rFonts w:ascii="Times New Roman" w:hAnsi="Times New Roman"/>
          <w:i/>
          <w:vertAlign w:val="subscript"/>
        </w:rPr>
        <w:t>1</w:t>
      </w:r>
    </w:p>
    <w:p w14:paraId="5A39C214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Tiamina ma szeroki zakres terapeutyczny. Bardzo duże dawki (ponad 10 g) mają działanie blokujące zwoje i podobne jak kurara tłumią przewodzenie impulsów nerwowych.</w:t>
      </w:r>
    </w:p>
    <w:p w14:paraId="74D75101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034B881B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i/>
        </w:rPr>
      </w:pPr>
      <w:r w:rsidRPr="009010CE">
        <w:rPr>
          <w:rFonts w:ascii="Times New Roman" w:hAnsi="Times New Roman"/>
          <w:i/>
        </w:rPr>
        <w:t>Witamina B</w:t>
      </w:r>
      <w:r w:rsidRPr="009010CE">
        <w:rPr>
          <w:rFonts w:ascii="Times New Roman" w:hAnsi="Times New Roman"/>
          <w:i/>
          <w:vertAlign w:val="subscript"/>
        </w:rPr>
        <w:t>6</w:t>
      </w:r>
    </w:p>
    <w:p w14:paraId="03B1274A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Toksyczny potencjał witaminy B</w:t>
      </w:r>
      <w:r w:rsidRPr="00633E42">
        <w:rPr>
          <w:rFonts w:ascii="Times New Roman" w:hAnsi="Times New Roman"/>
          <w:vertAlign w:val="subscript"/>
        </w:rPr>
        <w:t>6</w:t>
      </w:r>
      <w:r w:rsidRPr="00633E42">
        <w:rPr>
          <w:rFonts w:ascii="Times New Roman" w:hAnsi="Times New Roman"/>
        </w:rPr>
        <w:t xml:space="preserve"> można uznać za bardzo niski. Długoterminowe stosowanie (dłużej niż 6 do 12 miesięcy) dawek dobowych przekraczających 50 mg witaminy B</w:t>
      </w:r>
      <w:r w:rsidRPr="00633E42"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 xml:space="preserve"> moż</w:t>
      </w:r>
      <w:r w:rsidRPr="00633E42">
        <w:rPr>
          <w:rFonts w:ascii="Times New Roman" w:hAnsi="Times New Roman"/>
        </w:rPr>
        <w:t>e jednak powodować neuropatię obwodową. Stałe przyjmowanie witaminy B</w:t>
      </w:r>
      <w:r w:rsidRPr="00633E42">
        <w:rPr>
          <w:rFonts w:ascii="Times New Roman" w:hAnsi="Times New Roman"/>
          <w:vertAlign w:val="subscript"/>
        </w:rPr>
        <w:t>6</w:t>
      </w:r>
      <w:r w:rsidRPr="00633E42">
        <w:rPr>
          <w:rFonts w:ascii="Times New Roman" w:hAnsi="Times New Roman"/>
        </w:rPr>
        <w:t xml:space="preserve"> w dawce dobowej większej niż 1 g przez dłużej niż dwa miesiące może mieć działanie neurotoksyczne. </w:t>
      </w:r>
    </w:p>
    <w:p w14:paraId="3E3CED32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Po przyjęciu dawki większej niż 2 g na dobę opisywano neuropatie z ataksją i zaburzeniami czucia, drgawki ze zmianami w zapisie EEG i w bardzo rzadkich przypadkach anemię hipochromiczną i łojotokowe zapalenie skóry.</w:t>
      </w:r>
    </w:p>
    <w:p w14:paraId="4264612F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1FF12450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i/>
        </w:rPr>
      </w:pPr>
      <w:r w:rsidRPr="009010CE">
        <w:rPr>
          <w:rFonts w:ascii="Times New Roman" w:hAnsi="Times New Roman"/>
          <w:i/>
        </w:rPr>
        <w:t>Witamina B</w:t>
      </w:r>
      <w:r w:rsidRPr="009010CE">
        <w:rPr>
          <w:rFonts w:ascii="Times New Roman" w:hAnsi="Times New Roman"/>
          <w:i/>
          <w:vertAlign w:val="subscript"/>
        </w:rPr>
        <w:t>12</w:t>
      </w:r>
    </w:p>
    <w:p w14:paraId="010ADB8C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Po podaniu pozajelitowym dużych dawek (w rzadkich przypadkach również po podaniu doustnym) obserwowano reakcja alergiczne, wypryskowe zmiany skórne i łagodną postać trądziku.</w:t>
      </w:r>
    </w:p>
    <w:p w14:paraId="18952C1B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2DC9BBA9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 w:rsidRPr="009010CE">
        <w:rPr>
          <w:rFonts w:ascii="Times New Roman" w:hAnsi="Times New Roman"/>
          <w:u w:val="single"/>
        </w:rPr>
        <w:t>Leczenie</w:t>
      </w:r>
    </w:p>
    <w:p w14:paraId="2F311C0C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0A0DCBCC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i/>
        </w:rPr>
      </w:pPr>
      <w:r w:rsidRPr="009010CE">
        <w:rPr>
          <w:rFonts w:ascii="Times New Roman" w:hAnsi="Times New Roman"/>
          <w:i/>
        </w:rPr>
        <w:t>Diklofenak</w:t>
      </w:r>
    </w:p>
    <w:p w14:paraId="4E4FFB42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Nie ma swoistego antidotum. Postępowanie w przypadku przedawkowania polega na leczeniu objawowym i kontrolowaniu funkcji życiowych. W przypadku przedawkowania postaci doustnej, usunięcie pozostałości substancji z organizmu polega na płukaniu żołądka, podaniu węgla aktywnego </w:t>
      </w:r>
      <w:r w:rsidRPr="00633E42">
        <w:rPr>
          <w:rFonts w:ascii="Times New Roman" w:hAnsi="Times New Roman"/>
        </w:rPr>
        <w:lastRenderedPageBreak/>
        <w:t>oraz leków przeczyszczających. Działania podtrzymujące i leczenie objawowe stosuje się w przypadku powikłań takich jak niedociśnienie, niewydolność nerek, drgawki, podrażnienie żołądka i jelit oraz depresja oddechowa. Specjalne środki, takie jak wymuszona diureza, dializa lub hemoperfuzja są prawdopodobnie bezużyteczne w przypadku usuwania z organizmu NLPZ, ze względu na wysoki stopień wiązania z białkami</w:t>
      </w:r>
      <w:r>
        <w:rPr>
          <w:rFonts w:ascii="Times New Roman" w:hAnsi="Times New Roman"/>
        </w:rPr>
        <w:t xml:space="preserve"> osocza</w:t>
      </w:r>
      <w:r w:rsidRPr="00633E42">
        <w:rPr>
          <w:rFonts w:ascii="Times New Roman" w:hAnsi="Times New Roman"/>
        </w:rPr>
        <w:t xml:space="preserve"> i ekstensywny metabolizm. </w:t>
      </w:r>
    </w:p>
    <w:p w14:paraId="6D66E043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1EB66539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Po przyjęciu potencjalnie toksycznej, zbyt dużej dawki można rozważać podanie węgla aktywnego jak również opróżnienie żołądka (wymioty, płukanie żołądka). </w:t>
      </w:r>
    </w:p>
    <w:p w14:paraId="56561159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3EE474C6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5D60A9EB" w14:textId="77777777" w:rsidR="002E1BB7" w:rsidRPr="00633E42" w:rsidRDefault="002E1BB7" w:rsidP="00FE28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WŁAŚCIWOŚCI FARMAKOLOGICZNE</w:t>
      </w:r>
    </w:p>
    <w:p w14:paraId="60637BFA" w14:textId="77777777" w:rsidR="002E1BB7" w:rsidRPr="00633E42" w:rsidRDefault="002E1BB7" w:rsidP="00FE2851">
      <w:pPr>
        <w:pStyle w:val="Akapitzlist"/>
        <w:spacing w:after="0" w:line="240" w:lineRule="auto"/>
        <w:ind w:left="1068"/>
        <w:rPr>
          <w:rFonts w:ascii="Times New Roman" w:hAnsi="Times New Roman"/>
        </w:rPr>
      </w:pPr>
    </w:p>
    <w:p w14:paraId="63981D54" w14:textId="77777777" w:rsidR="002E1BB7" w:rsidRPr="00633E42" w:rsidRDefault="002E1BB7" w:rsidP="00FE285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Właściwości farmakodynamiczne</w:t>
      </w:r>
    </w:p>
    <w:p w14:paraId="5DAA14DA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60EEDA44" w14:textId="77777777" w:rsidR="002E1BB7" w:rsidRPr="00633E42" w:rsidRDefault="002E1BB7" w:rsidP="00FE2851">
      <w:pPr>
        <w:tabs>
          <w:tab w:val="center" w:pos="4536"/>
        </w:tabs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Grupa farmakoterapeutyczna: Leki przeciwzapalne i przeciwreumatyczne, niesteroidowe leki przeciwzapalne i przeciwreumatyczne, diklofenak w połączeniach</w:t>
      </w:r>
      <w:r>
        <w:rPr>
          <w:rFonts w:ascii="Times New Roman" w:hAnsi="Times New Roman"/>
        </w:rPr>
        <w:t>.</w:t>
      </w:r>
    </w:p>
    <w:p w14:paraId="46385232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633E42">
        <w:rPr>
          <w:rFonts w:ascii="Times New Roman" w:hAnsi="Times New Roman"/>
        </w:rPr>
        <w:t>od ATC: M01AB55</w:t>
      </w:r>
    </w:p>
    <w:p w14:paraId="79B62CCA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5CE13F69" w14:textId="2CAF6416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Produkt leczniczy </w:t>
      </w:r>
      <w:r w:rsidR="003331BC">
        <w:rPr>
          <w:rFonts w:ascii="Times New Roman" w:hAnsi="Times New Roman"/>
        </w:rPr>
        <w:t>Diclovit</w:t>
      </w:r>
      <w:r w:rsidRPr="00633E42">
        <w:rPr>
          <w:rFonts w:ascii="Times New Roman" w:hAnsi="Times New Roman"/>
        </w:rPr>
        <w:t xml:space="preserve"> kapsułki jest </w:t>
      </w:r>
      <w:r>
        <w:rPr>
          <w:rFonts w:ascii="Times New Roman" w:hAnsi="Times New Roman"/>
        </w:rPr>
        <w:t>połączeniem</w:t>
      </w:r>
      <w:r w:rsidRPr="00633E42">
        <w:rPr>
          <w:rFonts w:ascii="Times New Roman" w:hAnsi="Times New Roman"/>
        </w:rPr>
        <w:t xml:space="preserve"> diklofenaku sodowego i neurotropowych witamin B</w:t>
      </w:r>
      <w:r w:rsidRPr="00633E42">
        <w:rPr>
          <w:rFonts w:ascii="Times New Roman" w:hAnsi="Times New Roman"/>
          <w:vertAlign w:val="subscript"/>
        </w:rPr>
        <w:t>1</w:t>
      </w:r>
      <w:r w:rsidRPr="00633E42">
        <w:rPr>
          <w:rFonts w:ascii="Times New Roman" w:hAnsi="Times New Roman"/>
        </w:rPr>
        <w:t>, B</w:t>
      </w:r>
      <w:r w:rsidRPr="00633E42">
        <w:rPr>
          <w:rFonts w:ascii="Times New Roman" w:hAnsi="Times New Roman"/>
          <w:vertAlign w:val="subscript"/>
        </w:rPr>
        <w:t>6</w:t>
      </w:r>
      <w:r w:rsidRPr="00633E42">
        <w:rPr>
          <w:rFonts w:ascii="Times New Roman" w:hAnsi="Times New Roman"/>
        </w:rPr>
        <w:t xml:space="preserve"> i B</w:t>
      </w:r>
      <w:r w:rsidRPr="00633E42">
        <w:rPr>
          <w:rFonts w:ascii="Times New Roman" w:hAnsi="Times New Roman"/>
          <w:vertAlign w:val="subscript"/>
        </w:rPr>
        <w:t>12</w:t>
      </w:r>
      <w:r w:rsidRPr="00633E42">
        <w:rPr>
          <w:rFonts w:ascii="Times New Roman" w:hAnsi="Times New Roman"/>
        </w:rPr>
        <w:t xml:space="preserve">. </w:t>
      </w:r>
    </w:p>
    <w:p w14:paraId="484A8D10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6F128A8F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 w:rsidRPr="009010CE">
        <w:rPr>
          <w:rFonts w:ascii="Times New Roman" w:hAnsi="Times New Roman"/>
          <w:u w:val="single"/>
        </w:rPr>
        <w:t>Działanie farmakodynamiczne</w:t>
      </w:r>
    </w:p>
    <w:p w14:paraId="355A716F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</w:rPr>
        <w:t xml:space="preserve">Diklofenak, substancja niesteroidowa, ma działanie przeciwreumatyczne, przeciwzapalne, przeciwbólowe i przeciwgorączkowe spowodowane głównie zahamowaniem syntezy prostaglandyny. </w:t>
      </w:r>
      <w:r w:rsidRPr="00A64783">
        <w:rPr>
          <w:rFonts w:ascii="Times New Roman" w:hAnsi="Times New Roman"/>
        </w:rPr>
        <w:t>W dużych dawkach, prze</w:t>
      </w:r>
      <w:r>
        <w:rPr>
          <w:rFonts w:ascii="Times New Roman" w:hAnsi="Times New Roman"/>
        </w:rPr>
        <w:t>mijająco</w:t>
      </w:r>
      <w:r w:rsidRPr="00A64783">
        <w:rPr>
          <w:rFonts w:ascii="Times New Roman" w:hAnsi="Times New Roman"/>
        </w:rPr>
        <w:t xml:space="preserve"> hamuje agregację płytek krwi.</w:t>
      </w:r>
      <w:r w:rsidRPr="00633E42">
        <w:rPr>
          <w:rFonts w:ascii="Times New Roman" w:hAnsi="Times New Roman"/>
        </w:rPr>
        <w:t xml:space="preserve"> </w:t>
      </w:r>
    </w:p>
    <w:p w14:paraId="69BE6EF0" w14:textId="0AC9B19D" w:rsidR="002E1BB7" w:rsidRPr="00633E42" w:rsidRDefault="002E1BB7" w:rsidP="000E7A3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U ludzi diklofenak zmniejsza ból, obrzęk i gorączkę</w:t>
      </w:r>
      <w:r>
        <w:rPr>
          <w:rFonts w:ascii="Times New Roman" w:hAnsi="Times New Roman"/>
        </w:rPr>
        <w:t xml:space="preserve"> spowodowane procesem zapalnym.</w:t>
      </w:r>
      <w:r w:rsidRPr="00633E42">
        <w:rPr>
          <w:rFonts w:ascii="Times New Roman" w:hAnsi="Times New Roman"/>
        </w:rPr>
        <w:t xml:space="preserve"> Diklofenak hamuje także agregację płytek wywołaną ADP i kolagenem.</w:t>
      </w:r>
    </w:p>
    <w:p w14:paraId="49B2CF32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6BC37B1E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Witaminy B</w:t>
      </w:r>
      <w:r w:rsidRPr="00633E42">
        <w:rPr>
          <w:rFonts w:ascii="Times New Roman" w:hAnsi="Times New Roman"/>
          <w:vertAlign w:val="subscript"/>
        </w:rPr>
        <w:t>1</w:t>
      </w:r>
      <w:r w:rsidRPr="00633E42">
        <w:rPr>
          <w:rFonts w:ascii="Times New Roman" w:hAnsi="Times New Roman"/>
        </w:rPr>
        <w:t xml:space="preserve"> (tiamina), B</w:t>
      </w:r>
      <w:r w:rsidRPr="00633E42">
        <w:rPr>
          <w:rFonts w:ascii="Times New Roman" w:hAnsi="Times New Roman"/>
          <w:vertAlign w:val="subscript"/>
        </w:rPr>
        <w:t>6</w:t>
      </w:r>
      <w:r w:rsidRPr="00633E42">
        <w:rPr>
          <w:rFonts w:ascii="Times New Roman" w:hAnsi="Times New Roman"/>
        </w:rPr>
        <w:t xml:space="preserve"> (pirydoksyna) i B</w:t>
      </w:r>
      <w:r w:rsidRPr="00633E42">
        <w:rPr>
          <w:rFonts w:ascii="Times New Roman" w:hAnsi="Times New Roman"/>
          <w:vertAlign w:val="subscript"/>
        </w:rPr>
        <w:t>12</w:t>
      </w:r>
      <w:r w:rsidRPr="00633E42">
        <w:rPr>
          <w:rFonts w:ascii="Times New Roman" w:hAnsi="Times New Roman"/>
        </w:rPr>
        <w:t xml:space="preserve"> (kobalamina) </w:t>
      </w:r>
      <w:r>
        <w:rPr>
          <w:rFonts w:ascii="Times New Roman" w:hAnsi="Times New Roman"/>
        </w:rPr>
        <w:t>pełnią</w:t>
      </w:r>
      <w:r w:rsidRPr="00633E42">
        <w:rPr>
          <w:rFonts w:ascii="Times New Roman" w:hAnsi="Times New Roman"/>
        </w:rPr>
        <w:t xml:space="preserve"> funkcję koenzymów w metabolizmie, a szczególnie w metabolizmie komórek nerwowych, co pozytywnie wpływa na działanie przeciwbólowe diklofenaku sod</w:t>
      </w:r>
      <w:r>
        <w:rPr>
          <w:rFonts w:ascii="Times New Roman" w:hAnsi="Times New Roman"/>
        </w:rPr>
        <w:t>owego</w:t>
      </w:r>
      <w:r w:rsidRPr="00633E42">
        <w:rPr>
          <w:rFonts w:ascii="Times New Roman" w:hAnsi="Times New Roman"/>
        </w:rPr>
        <w:t>.</w:t>
      </w:r>
    </w:p>
    <w:p w14:paraId="45571274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Terapeutyczne podawanie tych witamin w kontekście chorób układu nerwowego służy zarówno przeciwdziałaniu towarzyszących stanów niedoboru witaminy (prawdopodobnie ze względu na zwiększone zapotrzebowanie w związku z zaburzeniem) oraz w celu stymulowania naturalnych mechanizmów naprawczych</w:t>
      </w:r>
      <w:r>
        <w:rPr>
          <w:rFonts w:ascii="Times New Roman" w:hAnsi="Times New Roman"/>
        </w:rPr>
        <w:t>.</w:t>
      </w:r>
    </w:p>
    <w:p w14:paraId="386BBCFD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183E0F61" w14:textId="77777777" w:rsidR="002E1BB7" w:rsidRPr="00633E42" w:rsidRDefault="002E1BB7" w:rsidP="00FE285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Właściwości farmakokinetyczne</w:t>
      </w:r>
    </w:p>
    <w:p w14:paraId="1FE0AB12" w14:textId="77777777" w:rsidR="002E1BB7" w:rsidRPr="00633E42" w:rsidRDefault="002E1BB7" w:rsidP="00FE2851">
      <w:pPr>
        <w:spacing w:after="0" w:line="240" w:lineRule="auto"/>
        <w:ind w:left="708"/>
        <w:rPr>
          <w:rFonts w:ascii="Times New Roman" w:hAnsi="Times New Roman"/>
        </w:rPr>
      </w:pPr>
    </w:p>
    <w:p w14:paraId="090F992D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  <w:i/>
        </w:rPr>
      </w:pPr>
      <w:r w:rsidRPr="009010CE">
        <w:rPr>
          <w:rFonts w:ascii="Times New Roman" w:hAnsi="Times New Roman"/>
          <w:i/>
        </w:rPr>
        <w:t>Diklofenak</w:t>
      </w:r>
    </w:p>
    <w:p w14:paraId="3673F956" w14:textId="77777777" w:rsidR="002E1BB7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</w:p>
    <w:p w14:paraId="1A31359B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 w:rsidRPr="009010CE">
        <w:rPr>
          <w:rFonts w:ascii="Times New Roman" w:hAnsi="Times New Roman"/>
          <w:u w:val="single"/>
        </w:rPr>
        <w:t>Wchłanianie</w:t>
      </w:r>
    </w:p>
    <w:p w14:paraId="6CE23B38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Diklofenak jest wchłaniany całkowicie.</w:t>
      </w:r>
    </w:p>
    <w:p w14:paraId="3E06D139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Terapeutyczne stężenie w osoczu wynosi od 0,7 do 2,0 µg/ml.</w:t>
      </w:r>
    </w:p>
    <w:p w14:paraId="2695578B" w14:textId="0A5C74C0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Średnie maksymalne stężenie w osoczu krwi na poziomie 1,5 µg/ml (5 </w:t>
      </w:r>
      <w:r w:rsidRPr="002A122D">
        <w:rPr>
          <w:rFonts w:ascii="Times New Roman" w:hAnsi="Times New Roman"/>
        </w:rPr>
        <w:t>µ</w:t>
      </w:r>
      <w:r w:rsidRPr="00633E42">
        <w:rPr>
          <w:rFonts w:ascii="Times New Roman" w:hAnsi="Times New Roman"/>
        </w:rPr>
        <w:t xml:space="preserve">mol/L) osiągane jest około 2 godziny po podaniu dawki 50 mg. Istnieje liniowa zależność pomiędzy dawką podaną i dawką wchłoniętą. </w:t>
      </w:r>
    </w:p>
    <w:p w14:paraId="4A4C2F2F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Przejście przez żołądek jest wolniejsze</w:t>
      </w:r>
      <w:r>
        <w:rPr>
          <w:rFonts w:ascii="Times New Roman" w:hAnsi="Times New Roman"/>
        </w:rPr>
        <w:t>,</w:t>
      </w:r>
      <w:r w:rsidRPr="00633E42">
        <w:rPr>
          <w:rFonts w:ascii="Times New Roman" w:hAnsi="Times New Roman"/>
        </w:rPr>
        <w:t xml:space="preserve"> jeśli kapsułki przyjmowane są z pożywieniem lub po posiłku</w:t>
      </w:r>
      <w:r>
        <w:rPr>
          <w:rFonts w:ascii="Times New Roman" w:hAnsi="Times New Roman"/>
        </w:rPr>
        <w:t>,</w:t>
      </w:r>
      <w:r w:rsidRPr="00633E42">
        <w:rPr>
          <w:rFonts w:ascii="Times New Roman" w:hAnsi="Times New Roman"/>
        </w:rPr>
        <w:t xml:space="preserve"> niż jeśli przyjmuje się je przed posiłkiem, jednak ilość wchłoniętego diklofenaku pozostaje taka sama. </w:t>
      </w:r>
    </w:p>
    <w:p w14:paraId="67BB070C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Około połowy podanego diklofenaku metabolizowane jest podczas pierwszego przejścia przez wątrobę (efekt „pierwszego przejścia”), co jest powodem różnicy w biodostępności po podaniu doustnym i doodbytniczym w porównaniu do podania pozajelitowego. </w:t>
      </w:r>
    </w:p>
    <w:p w14:paraId="0D0A438F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Właściwości farmakokinetyczne nie zmieniają się po podaniu wielokrotnym. Nie występuje kumulacja pod warunkiem zachowania przerw pomiędzy kolejnymi dawkami. </w:t>
      </w:r>
    </w:p>
    <w:p w14:paraId="5DCE8383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</w:p>
    <w:p w14:paraId="56982C21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 w:rsidRPr="009010CE">
        <w:rPr>
          <w:rFonts w:ascii="Times New Roman" w:hAnsi="Times New Roman"/>
          <w:u w:val="single"/>
        </w:rPr>
        <w:t>Dystrybucja</w:t>
      </w:r>
    </w:p>
    <w:p w14:paraId="26E1CB47" w14:textId="17F79390" w:rsidR="002E1BB7" w:rsidRPr="009010CE" w:rsidRDefault="002E1BB7" w:rsidP="00FE2851">
      <w:pPr>
        <w:spacing w:after="0" w:line="240" w:lineRule="auto"/>
        <w:rPr>
          <w:rFonts w:ascii="Times New Roman" w:hAnsi="Times New Roman"/>
        </w:rPr>
      </w:pPr>
      <w:r w:rsidRPr="009010CE">
        <w:rPr>
          <w:rFonts w:ascii="Times New Roman" w:hAnsi="Times New Roman"/>
        </w:rPr>
        <w:lastRenderedPageBreak/>
        <w:t>Wiązanie z białkami osocza</w:t>
      </w:r>
      <w:r>
        <w:rPr>
          <w:rFonts w:ascii="Times New Roman" w:hAnsi="Times New Roman"/>
        </w:rPr>
        <w:t xml:space="preserve"> wynosi 99,7%</w:t>
      </w:r>
      <w:r w:rsidRPr="009010CE">
        <w:rPr>
          <w:rFonts w:ascii="Times New Roman" w:hAnsi="Times New Roman"/>
        </w:rPr>
        <w:t>, głównie z albuminami</w:t>
      </w:r>
      <w:r>
        <w:rPr>
          <w:rFonts w:ascii="Times New Roman" w:hAnsi="Times New Roman"/>
        </w:rPr>
        <w:t>.</w:t>
      </w:r>
    </w:p>
    <w:p w14:paraId="3F401BBD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Względna</w:t>
      </w:r>
      <w:r w:rsidRPr="00633E42">
        <w:rPr>
          <w:rFonts w:ascii="Times New Roman" w:hAnsi="Times New Roman"/>
        </w:rPr>
        <w:t xml:space="preserve"> objętość dystrybucji wynosi </w:t>
      </w:r>
      <w:r>
        <w:rPr>
          <w:rFonts w:ascii="Times New Roman" w:hAnsi="Times New Roman"/>
        </w:rPr>
        <w:t xml:space="preserve">od </w:t>
      </w:r>
      <w:r w:rsidRPr="00633E42">
        <w:rPr>
          <w:rFonts w:ascii="Times New Roman" w:hAnsi="Times New Roman"/>
        </w:rPr>
        <w:t>0,12 do 0,17 l/kg.</w:t>
      </w:r>
    </w:p>
    <w:p w14:paraId="1974FD4D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</w:rPr>
      </w:pPr>
      <w:r w:rsidRPr="009010CE">
        <w:rPr>
          <w:rFonts w:ascii="Times New Roman" w:hAnsi="Times New Roman"/>
        </w:rPr>
        <w:t xml:space="preserve">Diklofenak </w:t>
      </w:r>
      <w:r w:rsidRPr="00633E42">
        <w:rPr>
          <w:rFonts w:ascii="Times New Roman" w:hAnsi="Times New Roman"/>
        </w:rPr>
        <w:t>przenika</w:t>
      </w:r>
      <w:r w:rsidRPr="009010CE">
        <w:rPr>
          <w:rFonts w:ascii="Times New Roman" w:hAnsi="Times New Roman"/>
        </w:rPr>
        <w:t xml:space="preserve"> do płynu </w:t>
      </w:r>
      <w:r w:rsidRPr="00633E42">
        <w:rPr>
          <w:rFonts w:ascii="Times New Roman" w:hAnsi="Times New Roman"/>
        </w:rPr>
        <w:t xml:space="preserve">maziowego, gdzie maksymalne stężenia mierzone są po 2 do 4 godzinach po osiągnięciu maksymalnego stężenia w osoczu. Pozorny okres półtrwania w fazie eliminacji z płynu maziowego wynosi 3 do 6 godzin. Dwie godziny po osiągnięciu </w:t>
      </w:r>
      <w:r>
        <w:rPr>
          <w:rFonts w:ascii="Times New Roman" w:hAnsi="Times New Roman"/>
        </w:rPr>
        <w:t>mak</w:t>
      </w:r>
      <w:r w:rsidRPr="00633E42">
        <w:rPr>
          <w:rFonts w:ascii="Times New Roman" w:hAnsi="Times New Roman"/>
        </w:rPr>
        <w:t xml:space="preserve">symalnego stężenia w osoczu, stężenie substancji czynnej jest już wyższe w płynie maziowym niż było w osoczu i pozostaje wyższe do 11 godzin. </w:t>
      </w:r>
    </w:p>
    <w:p w14:paraId="38262C12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  <w:b/>
        </w:rPr>
      </w:pPr>
    </w:p>
    <w:p w14:paraId="2B7571C0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 w:rsidRPr="00633E42">
        <w:rPr>
          <w:rFonts w:ascii="Times New Roman" w:hAnsi="Times New Roman"/>
          <w:u w:val="single"/>
        </w:rPr>
        <w:t>Metabolizm</w:t>
      </w:r>
    </w:p>
    <w:p w14:paraId="5399A9F7" w14:textId="77777777" w:rsidR="002E1BB7" w:rsidRPr="00633E42" w:rsidRDefault="002E1BB7" w:rsidP="00B426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Biotransformacja</w:t>
      </w:r>
      <w:r w:rsidRPr="00633E42">
        <w:rPr>
          <w:rFonts w:ascii="Times New Roman" w:hAnsi="Times New Roman"/>
        </w:rPr>
        <w:t xml:space="preserve"> diklofenaku</w:t>
      </w:r>
      <w:r w:rsidRPr="00633E42">
        <w:t xml:space="preserve"> </w:t>
      </w:r>
      <w:r w:rsidRPr="00633E42">
        <w:rPr>
          <w:rFonts w:ascii="Times New Roman" w:hAnsi="Times New Roman"/>
        </w:rPr>
        <w:t>obejmuje częściowo glukuronidację niezmienionej cząsteczki, jednak</w:t>
      </w:r>
    </w:p>
    <w:p w14:paraId="491A530E" w14:textId="77777777" w:rsidR="002E1BB7" w:rsidRPr="00633E42" w:rsidRDefault="002E1BB7" w:rsidP="00B426D2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głównym szlakiem metabolicznym jest pojedyncza i wielokrotna hydroksylacja i metoksylacja</w:t>
      </w:r>
    </w:p>
    <w:p w14:paraId="11F11043" w14:textId="77777777" w:rsidR="002E1BB7" w:rsidRPr="00633E42" w:rsidRDefault="002E1BB7" w:rsidP="00B426D2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z wytworzeniem kilku metabolitów fenolowych</w:t>
      </w:r>
      <w:r w:rsidRPr="00633E42">
        <w:t xml:space="preserve"> </w:t>
      </w:r>
      <w:r w:rsidRPr="00633E42">
        <w:rPr>
          <w:rFonts w:ascii="Times New Roman" w:hAnsi="Times New Roman"/>
        </w:rPr>
        <w:t>z których większość jest przekształcana do</w:t>
      </w:r>
    </w:p>
    <w:p w14:paraId="68099B73" w14:textId="77777777" w:rsidR="002E1BB7" w:rsidRPr="00633E42" w:rsidRDefault="002E1BB7" w:rsidP="00B426D2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związków sprzężonych z kwasem glukuronowym. Dwa spośród metabolitów fenolowych wykazują</w:t>
      </w:r>
    </w:p>
    <w:p w14:paraId="5D067B12" w14:textId="551D7584" w:rsidR="002E1BB7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 w:rsidRPr="00633E42">
        <w:rPr>
          <w:rFonts w:ascii="Times New Roman" w:hAnsi="Times New Roman"/>
        </w:rPr>
        <w:t xml:space="preserve">aktywność biologiczną, ale </w:t>
      </w:r>
      <w:r>
        <w:rPr>
          <w:rFonts w:ascii="Times New Roman" w:hAnsi="Times New Roman"/>
        </w:rPr>
        <w:t xml:space="preserve">w znacznie </w:t>
      </w:r>
      <w:r w:rsidRPr="00633E42">
        <w:rPr>
          <w:rFonts w:ascii="Times New Roman" w:hAnsi="Times New Roman"/>
        </w:rPr>
        <w:t>mniejsz</w:t>
      </w:r>
      <w:r>
        <w:rPr>
          <w:rFonts w:ascii="Times New Roman" w:hAnsi="Times New Roman"/>
        </w:rPr>
        <w:t>ym stopniu</w:t>
      </w:r>
      <w:r w:rsidRPr="00633E42">
        <w:rPr>
          <w:rFonts w:ascii="Times New Roman" w:hAnsi="Times New Roman"/>
        </w:rPr>
        <w:t xml:space="preserve"> niż diklofenak.</w:t>
      </w:r>
    </w:p>
    <w:p w14:paraId="5CAC4D96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Eliminacja</w:t>
      </w:r>
    </w:p>
    <w:p w14:paraId="59294A7C" w14:textId="77777777" w:rsidR="002E1BB7" w:rsidRDefault="002E1BB7" w:rsidP="00753106">
      <w:pPr>
        <w:spacing w:after="0" w:line="240" w:lineRule="auto"/>
        <w:rPr>
          <w:rFonts w:ascii="Times New Roman" w:hAnsi="Times New Roman"/>
        </w:rPr>
      </w:pPr>
      <w:r w:rsidRPr="009010CE">
        <w:rPr>
          <w:rFonts w:ascii="Times New Roman" w:hAnsi="Times New Roman"/>
        </w:rPr>
        <w:t>Całkowity klirens ogólnoustrojowy diklofenaku wynosi 263 ± 56 ml/min (średnia ± SD).</w:t>
      </w:r>
      <w:r>
        <w:rPr>
          <w:rFonts w:ascii="Times New Roman" w:hAnsi="Times New Roman"/>
        </w:rPr>
        <w:t xml:space="preserve"> </w:t>
      </w:r>
      <w:r w:rsidRPr="009010CE">
        <w:rPr>
          <w:rFonts w:ascii="Times New Roman" w:hAnsi="Times New Roman"/>
        </w:rPr>
        <w:t>Okres półtrwania w fazie eliminacji w osoczu wynosi 1 do 2 godzin. Cztery metabolity, w tym dwa czynne, również charakteryzują się krótkim okresem półtrwania (1 do 3 godzin).</w:t>
      </w:r>
      <w:r w:rsidRPr="00633E42">
        <w:rPr>
          <w:rFonts w:ascii="Times New Roman" w:hAnsi="Times New Roman"/>
        </w:rPr>
        <w:t xml:space="preserve"> Praktycznie nieaktywny metabolit 3’-hydroksy-4’-metoksydiklofenak</w:t>
      </w:r>
      <w:r w:rsidRPr="00633E42">
        <w:t xml:space="preserve"> </w:t>
      </w:r>
      <w:r w:rsidRPr="00633E42">
        <w:rPr>
          <w:rFonts w:ascii="Times New Roman" w:hAnsi="Times New Roman"/>
        </w:rPr>
        <w:t>ma znacznie dłuższy okres półtrwania.</w:t>
      </w:r>
    </w:p>
    <w:p w14:paraId="201B4C78" w14:textId="77777777" w:rsidR="002E1BB7" w:rsidRPr="00893432" w:rsidRDefault="002E1BB7" w:rsidP="00893432">
      <w:pPr>
        <w:spacing w:after="0" w:line="240" w:lineRule="auto"/>
        <w:rPr>
          <w:rFonts w:ascii="Times New Roman" w:hAnsi="Times New Roman"/>
        </w:rPr>
      </w:pPr>
      <w:r w:rsidRPr="00893432">
        <w:rPr>
          <w:rFonts w:ascii="Times New Roman" w:hAnsi="Times New Roman"/>
        </w:rPr>
        <w:t xml:space="preserve">Około 60% podanej dawki </w:t>
      </w:r>
      <w:r>
        <w:rPr>
          <w:rFonts w:ascii="Times New Roman" w:hAnsi="Times New Roman"/>
        </w:rPr>
        <w:t>jest wydalane</w:t>
      </w:r>
      <w:r w:rsidRPr="00893432">
        <w:rPr>
          <w:rFonts w:ascii="Times New Roman" w:hAnsi="Times New Roman"/>
        </w:rPr>
        <w:t xml:space="preserve"> w moczu w postaci sprzężonych z glukuronidami nie</w:t>
      </w:r>
    </w:p>
    <w:p w14:paraId="14213E8F" w14:textId="07752905" w:rsidR="002E1BB7" w:rsidRPr="00893432" w:rsidRDefault="002E1BB7" w:rsidP="00893432">
      <w:pPr>
        <w:spacing w:after="0" w:line="240" w:lineRule="auto"/>
        <w:rPr>
          <w:rFonts w:ascii="Times New Roman" w:hAnsi="Times New Roman"/>
        </w:rPr>
      </w:pPr>
      <w:r w:rsidRPr="00893432">
        <w:rPr>
          <w:rFonts w:ascii="Times New Roman" w:hAnsi="Times New Roman"/>
        </w:rPr>
        <w:t>zmienionych cząsteczek i metabolitów, z których większość również ulega przekształceniu do</w:t>
      </w:r>
      <w:r>
        <w:rPr>
          <w:rFonts w:ascii="Times New Roman" w:hAnsi="Times New Roman"/>
        </w:rPr>
        <w:t xml:space="preserve"> </w:t>
      </w:r>
      <w:r w:rsidRPr="00893432">
        <w:rPr>
          <w:rFonts w:ascii="Times New Roman" w:hAnsi="Times New Roman"/>
        </w:rPr>
        <w:t>połączeń glukuronidowych.</w:t>
      </w:r>
      <w:r w:rsidRPr="009010CE">
        <w:rPr>
          <w:rFonts w:ascii="Times New Roman" w:hAnsi="Times New Roman"/>
        </w:rPr>
        <w:t xml:space="preserve"> </w:t>
      </w:r>
      <w:r w:rsidRPr="00893432">
        <w:rPr>
          <w:rFonts w:ascii="Times New Roman" w:hAnsi="Times New Roman"/>
        </w:rPr>
        <w:t xml:space="preserve">Mniej niż 1% produktu leczniczego </w:t>
      </w:r>
      <w:r>
        <w:rPr>
          <w:rFonts w:ascii="Times New Roman" w:hAnsi="Times New Roman"/>
        </w:rPr>
        <w:t>jest wydalane</w:t>
      </w:r>
      <w:r w:rsidRPr="00893432">
        <w:rPr>
          <w:rFonts w:ascii="Times New Roman" w:hAnsi="Times New Roman"/>
        </w:rPr>
        <w:t xml:space="preserve"> w postaci nie</w:t>
      </w:r>
    </w:p>
    <w:p w14:paraId="5A69AC12" w14:textId="146DAEFD" w:rsidR="002E1BB7" w:rsidRPr="009010CE" w:rsidRDefault="002E1BB7" w:rsidP="00893432">
      <w:pPr>
        <w:spacing w:after="0" w:line="240" w:lineRule="auto"/>
        <w:rPr>
          <w:rFonts w:ascii="Times New Roman" w:hAnsi="Times New Roman"/>
        </w:rPr>
      </w:pPr>
      <w:r w:rsidRPr="00893432">
        <w:rPr>
          <w:rFonts w:ascii="Times New Roman" w:hAnsi="Times New Roman"/>
        </w:rPr>
        <w:t>zmienionej. Pozostała część dawki ulega eliminacji w postaci metabolitów z żółcią z kałem.</w:t>
      </w:r>
    </w:p>
    <w:p w14:paraId="22FB0A41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13C51FAE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i/>
        </w:rPr>
      </w:pPr>
      <w:r w:rsidRPr="009010CE">
        <w:rPr>
          <w:rFonts w:ascii="Times New Roman" w:hAnsi="Times New Roman"/>
          <w:i/>
        </w:rPr>
        <w:t>Tiamina</w:t>
      </w:r>
    </w:p>
    <w:p w14:paraId="0C5D154E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Po podaniu doustnym, tiamina wykazuje zależny od dawki podwójny mechanizm transportu:</w:t>
      </w:r>
    </w:p>
    <w:p w14:paraId="6A070290" w14:textId="4EDED615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aktywne wchłanianie aż do stężenia 2 µmol i bierna dyfuzja </w:t>
      </w:r>
      <w:r>
        <w:rPr>
          <w:rFonts w:ascii="Times New Roman" w:hAnsi="Times New Roman"/>
        </w:rPr>
        <w:t>dla</w:t>
      </w:r>
      <w:r w:rsidRPr="00633E42">
        <w:rPr>
          <w:rFonts w:ascii="Times New Roman" w:hAnsi="Times New Roman"/>
        </w:rPr>
        <w:t xml:space="preserve"> stęże</w:t>
      </w:r>
      <w:r>
        <w:rPr>
          <w:rFonts w:ascii="Times New Roman" w:hAnsi="Times New Roman"/>
        </w:rPr>
        <w:t>ń</w:t>
      </w:r>
      <w:r w:rsidRPr="00633E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powyżej</w:t>
      </w:r>
      <w:r w:rsidRPr="00633E42">
        <w:rPr>
          <w:rFonts w:ascii="Times New Roman" w:hAnsi="Times New Roman"/>
        </w:rPr>
        <w:t xml:space="preserve"> 2 µmol.</w:t>
      </w:r>
    </w:p>
    <w:p w14:paraId="29FA351E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Okres półtrwania wynosi około 4 godzin.</w:t>
      </w:r>
    </w:p>
    <w:p w14:paraId="7ED47B77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W organizmie ludzkim może być zmagazynowane około 30 mg tiaminy. Z uwagi na jej szybki metabolizm zdolność do gromadzenia rezerw jest raczej ograniczona (4 do 10 dni).</w:t>
      </w:r>
    </w:p>
    <w:p w14:paraId="38916D95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3E25AF97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i/>
        </w:rPr>
      </w:pPr>
      <w:r w:rsidRPr="009010CE">
        <w:rPr>
          <w:rFonts w:ascii="Times New Roman" w:hAnsi="Times New Roman"/>
          <w:i/>
        </w:rPr>
        <w:t>Pirydoksyna</w:t>
      </w:r>
    </w:p>
    <w:p w14:paraId="46CE121D" w14:textId="55C7D57B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Pirydoksyna jest szybko wchłaniania, głównie w górnym odcinku przewodu pokarmowego i wydalana maksymalnie po 2 do 5 godzinach.</w:t>
      </w:r>
    </w:p>
    <w:p w14:paraId="6A99CFB4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Organizm może zmagazynować około 40 do 150 mg pirydoksyny. Wydalanie z moczem wynosi od 1,7 do 3,6 mg na dobę. </w:t>
      </w:r>
    </w:p>
    <w:p w14:paraId="29C21F2F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17330C0B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i/>
        </w:rPr>
      </w:pPr>
      <w:r w:rsidRPr="009010CE">
        <w:rPr>
          <w:rFonts w:ascii="Times New Roman" w:hAnsi="Times New Roman"/>
          <w:i/>
        </w:rPr>
        <w:t>Cyjanokobalamina</w:t>
      </w:r>
    </w:p>
    <w:p w14:paraId="1C61BDCB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Wchłanianie z układu pokarmowego następuje poprzez dwa mechanizmy:</w:t>
      </w:r>
    </w:p>
    <w:p w14:paraId="6CBAC645" w14:textId="77777777" w:rsidR="002E1BB7" w:rsidRPr="00633E42" w:rsidRDefault="002E1BB7" w:rsidP="009010C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uwalnianie poprzez kwas żołądkowy i natychmiastowe wiązanie do czynnika wewnętrznego</w:t>
      </w:r>
    </w:p>
    <w:p w14:paraId="545547BE" w14:textId="77777777" w:rsidR="002E1BB7" w:rsidRPr="00633E42" w:rsidRDefault="002E1BB7" w:rsidP="009010C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bierny przepływ do krwi niezależnie od czynnika wewnętrznego</w:t>
      </w:r>
    </w:p>
    <w:p w14:paraId="66AE1578" w14:textId="77777777" w:rsidR="002E1BB7" w:rsidRPr="00633E42" w:rsidRDefault="002E1BB7" w:rsidP="0016190B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Przy dawkach </w:t>
      </w:r>
      <w:r>
        <w:rPr>
          <w:rFonts w:ascii="Times New Roman" w:hAnsi="Times New Roman"/>
        </w:rPr>
        <w:t xml:space="preserve">powyżej </w:t>
      </w:r>
      <w:r w:rsidRPr="00633E42">
        <w:rPr>
          <w:rFonts w:ascii="Times New Roman" w:hAnsi="Times New Roman"/>
        </w:rPr>
        <w:t>1,5 µg drugi z mechanizmów staje się ważniejszy.</w:t>
      </w:r>
    </w:p>
    <w:p w14:paraId="3F7A8771" w14:textId="77777777" w:rsidR="002E1BB7" w:rsidRPr="00633E42" w:rsidRDefault="002E1BB7" w:rsidP="0016190B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U pacjentów z niedokrwistością złośliwą, po podaniu doustnym dawek 100 µg i większych, współczynnik wchłaniania wynosił około 1%.</w:t>
      </w:r>
    </w:p>
    <w:p w14:paraId="5AAAD4A3" w14:textId="77777777" w:rsidR="002E1BB7" w:rsidRPr="00633E42" w:rsidRDefault="002E1BB7" w:rsidP="0016190B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Witamina B</w:t>
      </w:r>
      <w:r w:rsidRPr="00633E42">
        <w:rPr>
          <w:rFonts w:ascii="Times New Roman" w:hAnsi="Times New Roman"/>
          <w:vertAlign w:val="subscript"/>
        </w:rPr>
        <w:t>12</w:t>
      </w:r>
      <w:r w:rsidRPr="00633E42">
        <w:rPr>
          <w:rFonts w:ascii="Times New Roman" w:hAnsi="Times New Roman"/>
        </w:rPr>
        <w:t xml:space="preserve"> jest magazynowana głównie w wątrobie, a jej dobowe zapotrzebowanie wynosi około </w:t>
      </w:r>
    </w:p>
    <w:p w14:paraId="66AC6234" w14:textId="77777777" w:rsidR="002E1BB7" w:rsidRPr="00633E42" w:rsidRDefault="002E1BB7" w:rsidP="0016190B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1 µg. Rotacja witaminy B</w:t>
      </w:r>
      <w:r w:rsidRPr="00633E42">
        <w:rPr>
          <w:rFonts w:ascii="Times New Roman" w:hAnsi="Times New Roman"/>
          <w:vertAlign w:val="subscript"/>
        </w:rPr>
        <w:t>12</w:t>
      </w:r>
      <w:r w:rsidRPr="00633E42">
        <w:rPr>
          <w:rFonts w:ascii="Times New Roman" w:hAnsi="Times New Roman"/>
        </w:rPr>
        <w:t xml:space="preserve"> wynosi 2,5 µg na dobę lub 0,05% całkowitej ilości magazynowanej w organizmie. </w:t>
      </w:r>
    </w:p>
    <w:p w14:paraId="7E4061CB" w14:textId="77777777" w:rsidR="002E1BB7" w:rsidRPr="009010CE" w:rsidRDefault="002E1BB7" w:rsidP="0016190B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Witamina B</w:t>
      </w:r>
      <w:r w:rsidRPr="00633E42">
        <w:rPr>
          <w:rFonts w:ascii="Times New Roman" w:hAnsi="Times New Roman"/>
          <w:vertAlign w:val="subscript"/>
        </w:rPr>
        <w:t>12</w:t>
      </w:r>
      <w:r w:rsidRPr="00633E42">
        <w:rPr>
          <w:rFonts w:ascii="Times New Roman" w:hAnsi="Times New Roman"/>
        </w:rPr>
        <w:t xml:space="preserve"> jest głównie wydzielana do żółci i w większości ponownie wchłaniania poprzez krążenie jelitowo-wątrobowe. </w:t>
      </w:r>
    </w:p>
    <w:p w14:paraId="06F4A116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71D471AD" w14:textId="77777777" w:rsidR="002E1BB7" w:rsidRPr="00633E42" w:rsidRDefault="002E1BB7" w:rsidP="00FE285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Przedkliniczne dane o bezpieczeństwie</w:t>
      </w:r>
    </w:p>
    <w:p w14:paraId="7E19EBE3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437B4EFD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i/>
        </w:rPr>
      </w:pPr>
      <w:r w:rsidRPr="009010CE">
        <w:rPr>
          <w:rFonts w:ascii="Times New Roman" w:hAnsi="Times New Roman"/>
          <w:i/>
        </w:rPr>
        <w:t>Diklofenak</w:t>
      </w:r>
    </w:p>
    <w:p w14:paraId="6C920C8F" w14:textId="3F0AF245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W oparciu o konwencjonalne badania bezpieczeństwa farmakologicznego, genotoksyczności i rakotwórczości, dane z badań nieklinicznych nie wykazują szczególnego zagrożenia dla człowieka, </w:t>
      </w:r>
      <w:r w:rsidRPr="00633E42">
        <w:rPr>
          <w:rFonts w:ascii="Times New Roman" w:hAnsi="Times New Roman"/>
        </w:rPr>
        <w:lastRenderedPageBreak/>
        <w:t xml:space="preserve">oprócz ryzyka, o którym wspomniano w innych punktach niniejszej </w:t>
      </w:r>
      <w:r>
        <w:rPr>
          <w:rFonts w:ascii="Times New Roman" w:hAnsi="Times New Roman"/>
        </w:rPr>
        <w:t>Charakterystyki prod</w:t>
      </w:r>
      <w:r w:rsidRPr="00633E42">
        <w:rPr>
          <w:rFonts w:ascii="Times New Roman" w:hAnsi="Times New Roman"/>
        </w:rPr>
        <w:t>uktu leczniczego. Przewlekłą toksyczność diklofenaku wykazywano w nieklinicznych badaniach, gł</w:t>
      </w:r>
      <w:r>
        <w:rPr>
          <w:rFonts w:ascii="Times New Roman" w:hAnsi="Times New Roman"/>
        </w:rPr>
        <w:t>ó</w:t>
      </w:r>
      <w:r w:rsidRPr="00633E42">
        <w:rPr>
          <w:rFonts w:ascii="Times New Roman" w:hAnsi="Times New Roman"/>
        </w:rPr>
        <w:t xml:space="preserve">wnie w postaci uszkodzeń i owrzodzenia układu </w:t>
      </w:r>
      <w:r w:rsidR="00744A40" w:rsidRPr="00744A40">
        <w:rPr>
          <w:rFonts w:ascii="Times New Roman" w:hAnsi="Times New Roman"/>
        </w:rPr>
        <w:t>pokarmowego</w:t>
      </w:r>
      <w:r w:rsidRPr="00633E4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33E42">
        <w:rPr>
          <w:rFonts w:ascii="Times New Roman" w:hAnsi="Times New Roman"/>
        </w:rPr>
        <w:t>W dwuletnim badaniu toksyczności obserwowano u szczur</w:t>
      </w:r>
      <w:r w:rsidRPr="00A64783">
        <w:rPr>
          <w:rFonts w:ascii="Times New Roman" w:hAnsi="Times New Roman"/>
        </w:rPr>
        <w:t>ów leczonych diklofenakiem zależne od dawki incydenty zakrzepowe dotyczące serca.</w:t>
      </w:r>
      <w:r>
        <w:rPr>
          <w:rFonts w:ascii="Times New Roman" w:hAnsi="Times New Roman"/>
        </w:rPr>
        <w:t xml:space="preserve"> </w:t>
      </w:r>
    </w:p>
    <w:p w14:paraId="39F8C32F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0DF45868" w14:textId="6E55BCC7" w:rsidR="002E1BB7" w:rsidRDefault="002E1BB7" w:rsidP="00FE2851">
      <w:pPr>
        <w:spacing w:after="0" w:line="240" w:lineRule="auto"/>
        <w:rPr>
          <w:rFonts w:ascii="Times New Roman" w:hAnsi="Times New Roman"/>
          <w:i/>
        </w:rPr>
      </w:pPr>
      <w:r w:rsidRPr="00633E42">
        <w:rPr>
          <w:rFonts w:ascii="Times New Roman" w:hAnsi="Times New Roman"/>
        </w:rPr>
        <w:t xml:space="preserve">W badaniach na zwierzętach dotyczących toksycznego wpływu na rozrodczość, u królików diklofenak powodował zahamowanie owulacji oraz u szczurów zahamowanie implantacji i wczesne zaburzenia rozwoju embrionalnego. Diklofenak wydłużał czas trwania ciąży i porodu. Embriotoksyczny potencjał diklofenaku badany był u szczurów i królików. Śmierć płodu i opóźnienie wzrostu występowały po podaniu dawek toksycznych dla matki. W oparciu o dostępne dane uznaje się, że diklofenak nie ma teratogennego potencjału. Dawki poniżej toksycznego poziomu dla matki nie wpływają na pourodzeniowy rozwój potomstwa. </w:t>
      </w:r>
      <w:r w:rsidRPr="00A64783">
        <w:rPr>
          <w:rFonts w:ascii="Times New Roman" w:hAnsi="Times New Roman"/>
        </w:rPr>
        <w:t xml:space="preserve">Niewielki wpływ diklofenaku na parametry rozrodczości i porodu jak również zwężenie przewodu </w:t>
      </w:r>
      <w:r w:rsidRPr="00982444">
        <w:rPr>
          <w:rFonts w:ascii="Times New Roman" w:hAnsi="Times New Roman"/>
          <w:lang w:val="la-Latn"/>
        </w:rPr>
        <w:t xml:space="preserve">Botallo </w:t>
      </w:r>
      <w:r w:rsidRPr="00982444">
        <w:rPr>
          <w:rFonts w:ascii="Times New Roman" w:hAnsi="Times New Roman"/>
          <w:i/>
          <w:lang w:val="la-Latn"/>
        </w:rPr>
        <w:t>in utero</w:t>
      </w:r>
      <w:r w:rsidRPr="00A64783">
        <w:rPr>
          <w:rFonts w:ascii="Times New Roman" w:hAnsi="Times New Roman"/>
          <w:i/>
        </w:rPr>
        <w:t xml:space="preserve"> </w:t>
      </w:r>
      <w:r w:rsidRPr="00A64783">
        <w:rPr>
          <w:rFonts w:ascii="Times New Roman" w:hAnsi="Times New Roman"/>
        </w:rPr>
        <w:t>to dział</w:t>
      </w:r>
      <w:r w:rsidRPr="009010CE">
        <w:rPr>
          <w:rFonts w:ascii="Times New Roman" w:hAnsi="Times New Roman"/>
        </w:rPr>
        <w:t>a</w:t>
      </w:r>
      <w:r w:rsidRPr="00A64783">
        <w:rPr>
          <w:rFonts w:ascii="Times New Roman" w:hAnsi="Times New Roman"/>
        </w:rPr>
        <w:t>nie farmakologiczne tej klasy inhibitorów syntezy prostaglandyny.</w:t>
      </w:r>
    </w:p>
    <w:p w14:paraId="71F05748" w14:textId="77777777" w:rsidR="002E1BB7" w:rsidRPr="009010CE" w:rsidRDefault="002E1BB7" w:rsidP="00FE2851">
      <w:pPr>
        <w:spacing w:after="0" w:line="240" w:lineRule="auto"/>
        <w:rPr>
          <w:rFonts w:ascii="Times New Roman" w:hAnsi="Times New Roman"/>
          <w:i/>
        </w:rPr>
      </w:pPr>
      <w:r w:rsidRPr="009010CE">
        <w:rPr>
          <w:rFonts w:ascii="Times New Roman" w:hAnsi="Times New Roman"/>
          <w:i/>
        </w:rPr>
        <w:t>Witaminy B</w:t>
      </w:r>
      <w:r w:rsidRPr="009010CE">
        <w:rPr>
          <w:rFonts w:ascii="Times New Roman" w:hAnsi="Times New Roman"/>
          <w:i/>
          <w:vertAlign w:val="subscript"/>
        </w:rPr>
        <w:t>1</w:t>
      </w:r>
      <w:r w:rsidRPr="009010CE">
        <w:rPr>
          <w:rFonts w:ascii="Times New Roman" w:hAnsi="Times New Roman"/>
          <w:i/>
        </w:rPr>
        <w:t>, B</w:t>
      </w:r>
      <w:r w:rsidRPr="009010CE">
        <w:rPr>
          <w:rFonts w:ascii="Times New Roman" w:hAnsi="Times New Roman"/>
          <w:i/>
          <w:vertAlign w:val="subscript"/>
        </w:rPr>
        <w:t>6</w:t>
      </w:r>
      <w:r w:rsidRPr="009010CE">
        <w:rPr>
          <w:rFonts w:ascii="Times New Roman" w:hAnsi="Times New Roman"/>
          <w:i/>
        </w:rPr>
        <w:t xml:space="preserve"> i B</w:t>
      </w:r>
      <w:r w:rsidRPr="009010CE">
        <w:rPr>
          <w:rFonts w:ascii="Times New Roman" w:hAnsi="Times New Roman"/>
          <w:i/>
          <w:vertAlign w:val="subscript"/>
        </w:rPr>
        <w:t>12</w:t>
      </w:r>
    </w:p>
    <w:p w14:paraId="2C516CA1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Nie kliniczne dane nie wykazują szczególnego ryzyka dla ludzi w oparciu o konwencjonalne badania bezpieczeństwa farmakologicznego, genotoksyczności i potencjału rakotwórczego. </w:t>
      </w:r>
    </w:p>
    <w:p w14:paraId="4AC11F8C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6DE42D80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9010CE">
        <w:rPr>
          <w:rFonts w:ascii="Times New Roman" w:hAnsi="Times New Roman"/>
          <w:u w:val="single"/>
        </w:rPr>
        <w:t>Przewlekła toksyczność</w:t>
      </w:r>
      <w:r w:rsidRPr="00633E42">
        <w:rPr>
          <w:rFonts w:ascii="Times New Roman" w:hAnsi="Times New Roman"/>
        </w:rPr>
        <w:t>: W odniesieniu do witaminy B</w:t>
      </w:r>
      <w:r w:rsidRPr="00633E42">
        <w:rPr>
          <w:rFonts w:ascii="Times New Roman" w:hAnsi="Times New Roman"/>
          <w:vertAlign w:val="subscript"/>
        </w:rPr>
        <w:t>1</w:t>
      </w:r>
      <w:r w:rsidRPr="00633E42">
        <w:rPr>
          <w:rFonts w:ascii="Times New Roman" w:hAnsi="Times New Roman"/>
        </w:rPr>
        <w:t xml:space="preserve"> dane dotyczące toksycznego wpływu u zwierząt są ograniczone. Brak danych dotyczących przewlekłego i </w:t>
      </w:r>
      <w:r>
        <w:rPr>
          <w:rFonts w:ascii="Times New Roman" w:hAnsi="Times New Roman"/>
        </w:rPr>
        <w:t>subchronicznego</w:t>
      </w:r>
      <w:r w:rsidRPr="00633E42">
        <w:rPr>
          <w:rFonts w:ascii="Times New Roman" w:hAnsi="Times New Roman"/>
        </w:rPr>
        <w:t xml:space="preserve"> podawania wysokich dawek rozpuszczalnych w wodzie pochodnych tiaminy. </w:t>
      </w:r>
    </w:p>
    <w:p w14:paraId="65B27A10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U psów podawanie doustne 150 mg witaminy B</w:t>
      </w:r>
      <w:r w:rsidRPr="00633E42">
        <w:rPr>
          <w:rFonts w:ascii="Times New Roman" w:hAnsi="Times New Roman"/>
          <w:vertAlign w:val="subscript"/>
        </w:rPr>
        <w:t>6</w:t>
      </w:r>
      <w:r w:rsidRPr="00633E42">
        <w:rPr>
          <w:rFonts w:ascii="Times New Roman" w:hAnsi="Times New Roman"/>
        </w:rPr>
        <w:t xml:space="preserve"> na kilogram masy ciała na dobę przez okres około 100 dni powodowało ataksję, miastenię, zaburzenia równowagi jak również zmiany zwyrodnieniowe aksonów i osłonek mielinowych. Dodatkowo w badaniach na zwierzętach wykazano, że po podaniu dużych dawek witaminy B</w:t>
      </w:r>
      <w:r w:rsidRPr="009010CE">
        <w:rPr>
          <w:rFonts w:ascii="Times New Roman" w:hAnsi="Times New Roman"/>
          <w:vertAlign w:val="subscript"/>
        </w:rPr>
        <w:t>6</w:t>
      </w:r>
      <w:r w:rsidRPr="00633E42">
        <w:rPr>
          <w:rFonts w:ascii="Times New Roman" w:hAnsi="Times New Roman"/>
        </w:rPr>
        <w:t xml:space="preserve"> występowały neuropatie czuciowe i zmiany w </w:t>
      </w:r>
      <w:r>
        <w:rPr>
          <w:rFonts w:ascii="Times New Roman" w:hAnsi="Times New Roman"/>
        </w:rPr>
        <w:t>czynności</w:t>
      </w:r>
      <w:r w:rsidRPr="00633E42">
        <w:rPr>
          <w:rFonts w:ascii="Times New Roman" w:hAnsi="Times New Roman"/>
        </w:rPr>
        <w:t xml:space="preserve"> ośrodkowego układu nerwowego. Dane </w:t>
      </w:r>
      <w:r w:rsidRPr="00563F1B">
        <w:rPr>
          <w:rFonts w:ascii="Times New Roman" w:hAnsi="Times New Roman"/>
        </w:rPr>
        <w:t>z badań na zwierzętach</w:t>
      </w:r>
      <w:r>
        <w:rPr>
          <w:rFonts w:ascii="Times New Roman" w:hAnsi="Times New Roman"/>
        </w:rPr>
        <w:t xml:space="preserve">, </w:t>
      </w:r>
      <w:r w:rsidRPr="00633E42">
        <w:rPr>
          <w:rFonts w:ascii="Times New Roman" w:hAnsi="Times New Roman"/>
        </w:rPr>
        <w:t>dotyczące toksycznego potencjału witaminy B</w:t>
      </w:r>
      <w:r w:rsidRPr="00633E42">
        <w:rPr>
          <w:rFonts w:ascii="Times New Roman" w:hAnsi="Times New Roman"/>
          <w:vertAlign w:val="subscript"/>
        </w:rPr>
        <w:t>12</w:t>
      </w:r>
      <w:r w:rsidRPr="00633E42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ą</w:t>
      </w:r>
      <w:r w:rsidRPr="00633E42">
        <w:rPr>
          <w:rFonts w:ascii="Times New Roman" w:hAnsi="Times New Roman"/>
        </w:rPr>
        <w:t xml:space="preserve"> ograniczone, ale zasadniczo wykazano, że witamina B</w:t>
      </w:r>
      <w:r w:rsidRPr="00633E42">
        <w:rPr>
          <w:rFonts w:ascii="Times New Roman" w:hAnsi="Times New Roman"/>
          <w:vertAlign w:val="subscript"/>
        </w:rPr>
        <w:t>12</w:t>
      </w:r>
      <w:r w:rsidRPr="00633E42">
        <w:rPr>
          <w:rFonts w:ascii="Times New Roman" w:hAnsi="Times New Roman"/>
        </w:rPr>
        <w:t xml:space="preserve"> ma nisk</w:t>
      </w:r>
      <w:r>
        <w:rPr>
          <w:rFonts w:ascii="Times New Roman" w:hAnsi="Times New Roman"/>
        </w:rPr>
        <w:t>ą</w:t>
      </w:r>
      <w:r w:rsidRPr="00633E42">
        <w:rPr>
          <w:rFonts w:ascii="Times New Roman" w:hAnsi="Times New Roman"/>
        </w:rPr>
        <w:t xml:space="preserve"> toksyczność. </w:t>
      </w:r>
    </w:p>
    <w:p w14:paraId="0B01ADAE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5A7094F8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9010CE">
        <w:rPr>
          <w:rFonts w:ascii="Times New Roman" w:hAnsi="Times New Roman"/>
          <w:u w:val="single"/>
        </w:rPr>
        <w:t>Toksyczny wpływ na reprodukcję</w:t>
      </w:r>
      <w:r w:rsidRPr="00633E42">
        <w:rPr>
          <w:rFonts w:ascii="Times New Roman" w:hAnsi="Times New Roman"/>
        </w:rPr>
        <w:t>: witamina B</w:t>
      </w:r>
      <w:r w:rsidRPr="00633E42">
        <w:rPr>
          <w:rFonts w:ascii="Times New Roman" w:hAnsi="Times New Roman"/>
          <w:vertAlign w:val="subscript"/>
        </w:rPr>
        <w:t>1</w:t>
      </w:r>
      <w:r w:rsidRPr="00633E42">
        <w:rPr>
          <w:rFonts w:ascii="Times New Roman" w:hAnsi="Times New Roman"/>
        </w:rPr>
        <w:t xml:space="preserve"> w pożywieniu matki wpływa na wskaźniki stężenia tiaminy i metabolizm tiaminy u potomstwa. </w:t>
      </w:r>
    </w:p>
    <w:p w14:paraId="2C0FE71B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Witamina B</w:t>
      </w:r>
      <w:r w:rsidRPr="00633E42">
        <w:rPr>
          <w:rFonts w:ascii="Times New Roman" w:hAnsi="Times New Roman"/>
          <w:vertAlign w:val="subscript"/>
        </w:rPr>
        <w:t>6</w:t>
      </w:r>
      <w:r w:rsidRPr="00633E42">
        <w:rPr>
          <w:rFonts w:ascii="Times New Roman" w:hAnsi="Times New Roman"/>
        </w:rPr>
        <w:t xml:space="preserve"> nie została wystarczająco zbadana w badaniach na zwierzętach. Badania embriotoksyczności u szczurów nie wskazują na potencjał teratogenny. U samców szczurów podawanie bardzo dużych dawek witaminy B</w:t>
      </w:r>
      <w:r w:rsidRPr="00633E42">
        <w:rPr>
          <w:rFonts w:ascii="Times New Roman" w:hAnsi="Times New Roman"/>
          <w:vertAlign w:val="subscript"/>
        </w:rPr>
        <w:t>6</w:t>
      </w:r>
      <w:r w:rsidRPr="00633E42">
        <w:rPr>
          <w:rFonts w:ascii="Times New Roman" w:hAnsi="Times New Roman"/>
        </w:rPr>
        <w:t xml:space="preserve"> prowadzi do zaburzeń spermatogenezy. </w:t>
      </w:r>
    </w:p>
    <w:p w14:paraId="7921B7B1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Brak doniesień o działaniach niepożądanych wynikających z podawania witaminy B</w:t>
      </w:r>
      <w:r w:rsidRPr="00633E42">
        <w:rPr>
          <w:rFonts w:ascii="Times New Roman" w:hAnsi="Times New Roman"/>
          <w:vertAlign w:val="subscript"/>
        </w:rPr>
        <w:t>12</w:t>
      </w:r>
      <w:r w:rsidRPr="00633E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dotyczących wpływu </w:t>
      </w:r>
      <w:r w:rsidRPr="00633E42">
        <w:rPr>
          <w:rFonts w:ascii="Times New Roman" w:hAnsi="Times New Roman"/>
        </w:rPr>
        <w:t xml:space="preserve">na płodność samców i samic lub na przed i pourodzeniowy rozwój. </w:t>
      </w:r>
    </w:p>
    <w:p w14:paraId="1D910D0B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60AE2FB1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15688B32" w14:textId="77777777" w:rsidR="002E1BB7" w:rsidRPr="00633E42" w:rsidRDefault="002E1BB7" w:rsidP="00FE28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DANE FARMACEUTYCZNE</w:t>
      </w:r>
    </w:p>
    <w:p w14:paraId="66B0B43C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23FF4F0B" w14:textId="77777777" w:rsidR="002E1BB7" w:rsidRPr="00633E42" w:rsidRDefault="002E1BB7" w:rsidP="00FE285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Wykaz substancji pomocniczych</w:t>
      </w:r>
    </w:p>
    <w:p w14:paraId="14882C65" w14:textId="77777777" w:rsidR="002E1BB7" w:rsidRPr="00633E42" w:rsidRDefault="002E1BB7" w:rsidP="00FE2851">
      <w:pPr>
        <w:spacing w:after="0" w:line="240" w:lineRule="auto"/>
        <w:ind w:left="708"/>
        <w:rPr>
          <w:rFonts w:ascii="Times New Roman" w:hAnsi="Times New Roman"/>
        </w:rPr>
      </w:pPr>
    </w:p>
    <w:p w14:paraId="471BD889" w14:textId="77777777" w:rsidR="002E1BB7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Zawartoś</w:t>
      </w:r>
      <w:r>
        <w:rPr>
          <w:rFonts w:ascii="Times New Roman" w:hAnsi="Times New Roman"/>
        </w:rPr>
        <w:t>ć</w:t>
      </w:r>
      <w:r w:rsidRPr="00633E42">
        <w:rPr>
          <w:rFonts w:ascii="Times New Roman" w:hAnsi="Times New Roman"/>
        </w:rPr>
        <w:t xml:space="preserve"> kapsułki:</w:t>
      </w:r>
      <w:r w:rsidRPr="00633E42">
        <w:rPr>
          <w:rFonts w:ascii="Times New Roman" w:hAnsi="Times New Roman"/>
        </w:rPr>
        <w:tab/>
      </w:r>
    </w:p>
    <w:p w14:paraId="124EE24E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Powidon</w:t>
      </w:r>
    </w:p>
    <w:p w14:paraId="774C7857" w14:textId="77777777" w:rsidR="002E1BB7" w:rsidRPr="00633E42" w:rsidRDefault="002E1BB7" w:rsidP="008049FD">
      <w:pPr>
        <w:spacing w:after="0" w:line="240" w:lineRule="auto"/>
        <w:ind w:left="1416" w:hanging="1416"/>
        <w:rPr>
          <w:rFonts w:ascii="Times New Roman" w:hAnsi="Times New Roman"/>
        </w:rPr>
      </w:pPr>
      <w:r w:rsidRPr="00633E42">
        <w:rPr>
          <w:rFonts w:ascii="Times New Roman" w:hAnsi="Times New Roman"/>
        </w:rPr>
        <w:t>Kwas</w:t>
      </w:r>
      <w:r>
        <w:rPr>
          <w:rFonts w:ascii="Times New Roman" w:hAnsi="Times New Roman"/>
        </w:rPr>
        <w:t>u</w:t>
      </w:r>
      <w:r w:rsidRPr="00633E42">
        <w:rPr>
          <w:rFonts w:ascii="Times New Roman" w:hAnsi="Times New Roman"/>
        </w:rPr>
        <w:t xml:space="preserve"> metakrylow</w:t>
      </w:r>
      <w:r>
        <w:rPr>
          <w:rFonts w:ascii="Times New Roman" w:hAnsi="Times New Roman"/>
        </w:rPr>
        <w:t>ego</w:t>
      </w:r>
      <w:r w:rsidRPr="00633E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etylu </w:t>
      </w:r>
      <w:r w:rsidRPr="00633E42">
        <w:rPr>
          <w:rFonts w:ascii="Times New Roman" w:hAnsi="Times New Roman"/>
        </w:rPr>
        <w:t>akrylan</w:t>
      </w:r>
      <w:r>
        <w:rPr>
          <w:rFonts w:ascii="Times New Roman" w:hAnsi="Times New Roman"/>
        </w:rPr>
        <w:t>u</w:t>
      </w:r>
      <w:r w:rsidRPr="00633E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kopolimer</w:t>
      </w:r>
      <w:r w:rsidRPr="00633E42">
        <w:rPr>
          <w:rFonts w:ascii="Times New Roman" w:hAnsi="Times New Roman"/>
        </w:rPr>
        <w:t xml:space="preserve"> (1:1)</w:t>
      </w:r>
      <w:r>
        <w:rPr>
          <w:rFonts w:ascii="Times New Roman" w:hAnsi="Times New Roman"/>
        </w:rPr>
        <w:t>, dyspersja 30%</w:t>
      </w:r>
    </w:p>
    <w:p w14:paraId="4BB18FAD" w14:textId="77777777" w:rsidR="002E1BB7" w:rsidRPr="00633E42" w:rsidRDefault="002E1BB7" w:rsidP="008049FD">
      <w:pPr>
        <w:spacing w:after="0" w:line="240" w:lineRule="auto"/>
        <w:ind w:left="1416" w:hanging="1416"/>
        <w:rPr>
          <w:rFonts w:ascii="Times New Roman" w:hAnsi="Times New Roman"/>
        </w:rPr>
      </w:pPr>
      <w:r w:rsidRPr="00633E42">
        <w:rPr>
          <w:rFonts w:ascii="Times New Roman" w:hAnsi="Times New Roman"/>
        </w:rPr>
        <w:t>Trietylu cytrynian</w:t>
      </w:r>
    </w:p>
    <w:p w14:paraId="75E1B33D" w14:textId="77777777" w:rsidR="002E1BB7" w:rsidRPr="00633E42" w:rsidRDefault="002E1BB7" w:rsidP="008049FD">
      <w:pPr>
        <w:spacing w:after="0" w:line="240" w:lineRule="auto"/>
        <w:ind w:left="1416" w:hanging="1416"/>
        <w:rPr>
          <w:rFonts w:ascii="Times New Roman" w:hAnsi="Times New Roman"/>
        </w:rPr>
      </w:pPr>
      <w:r w:rsidRPr="00633E42">
        <w:rPr>
          <w:rFonts w:ascii="Times New Roman" w:hAnsi="Times New Roman"/>
        </w:rPr>
        <w:t>Talk</w:t>
      </w:r>
    </w:p>
    <w:p w14:paraId="6EA631BB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78CEB576" w14:textId="77777777" w:rsidR="002E1BB7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Otoczka kapsułki</w:t>
      </w:r>
      <w:r>
        <w:rPr>
          <w:rFonts w:ascii="Times New Roman" w:hAnsi="Times New Roman"/>
        </w:rPr>
        <w:t xml:space="preserve">: </w:t>
      </w:r>
    </w:p>
    <w:p w14:paraId="6D3ED598" w14:textId="77777777" w:rsidR="00F96C2A" w:rsidRPr="00F96C2A" w:rsidRDefault="00F96C2A" w:rsidP="00F96C2A">
      <w:pPr>
        <w:spacing w:after="0" w:line="240" w:lineRule="auto"/>
        <w:rPr>
          <w:rFonts w:ascii="Times New Roman" w:hAnsi="Times New Roman"/>
        </w:rPr>
      </w:pPr>
      <w:r w:rsidRPr="00F96C2A">
        <w:rPr>
          <w:rFonts w:ascii="Times New Roman" w:hAnsi="Times New Roman"/>
        </w:rPr>
        <w:t>- korpus, barwy kości słoniowej:</w:t>
      </w:r>
    </w:p>
    <w:p w14:paraId="1E950F66" w14:textId="77777777" w:rsidR="00F96C2A" w:rsidRPr="00F96C2A" w:rsidRDefault="00F96C2A" w:rsidP="00F96C2A">
      <w:pPr>
        <w:spacing w:after="0" w:line="240" w:lineRule="auto"/>
        <w:rPr>
          <w:rFonts w:ascii="Times New Roman" w:hAnsi="Times New Roman"/>
        </w:rPr>
      </w:pPr>
      <w:r w:rsidRPr="00F96C2A">
        <w:rPr>
          <w:rFonts w:ascii="Times New Roman" w:hAnsi="Times New Roman"/>
        </w:rPr>
        <w:t>Tytanu dwutlenek (E 171)</w:t>
      </w:r>
    </w:p>
    <w:p w14:paraId="577C742D" w14:textId="77777777" w:rsidR="00F96C2A" w:rsidRPr="00F96C2A" w:rsidRDefault="00F96C2A" w:rsidP="00F96C2A">
      <w:pPr>
        <w:spacing w:after="0" w:line="240" w:lineRule="auto"/>
        <w:rPr>
          <w:rFonts w:ascii="Times New Roman" w:hAnsi="Times New Roman"/>
        </w:rPr>
      </w:pPr>
      <w:r w:rsidRPr="00F96C2A">
        <w:rPr>
          <w:rFonts w:ascii="Times New Roman" w:hAnsi="Times New Roman"/>
        </w:rPr>
        <w:t>Żelaza tlenek czerwony (E 172)</w:t>
      </w:r>
    </w:p>
    <w:p w14:paraId="5C81BE0F" w14:textId="77777777" w:rsidR="00F96C2A" w:rsidRPr="00F96C2A" w:rsidRDefault="00F96C2A" w:rsidP="00F96C2A">
      <w:pPr>
        <w:spacing w:after="0" w:line="240" w:lineRule="auto"/>
        <w:rPr>
          <w:rFonts w:ascii="Times New Roman" w:hAnsi="Times New Roman"/>
        </w:rPr>
      </w:pPr>
      <w:r w:rsidRPr="00F96C2A">
        <w:rPr>
          <w:rFonts w:ascii="Times New Roman" w:hAnsi="Times New Roman"/>
        </w:rPr>
        <w:t>Żelaza tlenek żółty (E 172)</w:t>
      </w:r>
    </w:p>
    <w:p w14:paraId="78652BE0" w14:textId="77777777" w:rsidR="00F96C2A" w:rsidRPr="00F96C2A" w:rsidRDefault="00F96C2A" w:rsidP="00F96C2A">
      <w:pPr>
        <w:spacing w:after="0" w:line="240" w:lineRule="auto"/>
        <w:rPr>
          <w:rFonts w:ascii="Times New Roman" w:hAnsi="Times New Roman"/>
        </w:rPr>
      </w:pPr>
      <w:r w:rsidRPr="00F96C2A">
        <w:rPr>
          <w:rFonts w:ascii="Times New Roman" w:hAnsi="Times New Roman"/>
        </w:rPr>
        <w:t>Żelatyna</w:t>
      </w:r>
    </w:p>
    <w:p w14:paraId="5C5115D4" w14:textId="77777777" w:rsidR="00F96C2A" w:rsidRPr="00F96C2A" w:rsidRDefault="00F96C2A" w:rsidP="00F96C2A">
      <w:pPr>
        <w:spacing w:after="0" w:line="240" w:lineRule="auto"/>
        <w:rPr>
          <w:rFonts w:ascii="Times New Roman" w:hAnsi="Times New Roman"/>
        </w:rPr>
      </w:pPr>
      <w:r w:rsidRPr="00F96C2A">
        <w:rPr>
          <w:rFonts w:ascii="Times New Roman" w:hAnsi="Times New Roman"/>
        </w:rPr>
        <w:t>- wieczko, barwy pomarańczowej:</w:t>
      </w:r>
    </w:p>
    <w:p w14:paraId="2DBF3DC2" w14:textId="77777777" w:rsidR="00F96C2A" w:rsidRPr="00F96C2A" w:rsidRDefault="00F96C2A" w:rsidP="00F96C2A">
      <w:pPr>
        <w:spacing w:after="0" w:line="240" w:lineRule="auto"/>
        <w:rPr>
          <w:rFonts w:ascii="Times New Roman" w:hAnsi="Times New Roman"/>
        </w:rPr>
      </w:pPr>
      <w:r w:rsidRPr="00F96C2A">
        <w:rPr>
          <w:rFonts w:ascii="Times New Roman" w:hAnsi="Times New Roman"/>
        </w:rPr>
        <w:lastRenderedPageBreak/>
        <w:t>Tytanu dwutlenek (E 171)</w:t>
      </w:r>
    </w:p>
    <w:p w14:paraId="1CB109DB" w14:textId="77777777" w:rsidR="00F96C2A" w:rsidRPr="00F96C2A" w:rsidRDefault="00F96C2A" w:rsidP="00F96C2A">
      <w:pPr>
        <w:spacing w:after="0" w:line="240" w:lineRule="auto"/>
        <w:rPr>
          <w:rFonts w:ascii="Times New Roman" w:hAnsi="Times New Roman"/>
        </w:rPr>
      </w:pPr>
      <w:r w:rsidRPr="00F96C2A">
        <w:rPr>
          <w:rFonts w:ascii="Times New Roman" w:hAnsi="Times New Roman"/>
        </w:rPr>
        <w:t>Żelaza tlenek czerwony (E 172)</w:t>
      </w:r>
    </w:p>
    <w:p w14:paraId="2DF4CD34" w14:textId="77777777" w:rsidR="00F96C2A" w:rsidRDefault="00F96C2A" w:rsidP="005E2B1C">
      <w:pPr>
        <w:spacing w:after="0" w:line="240" w:lineRule="auto"/>
        <w:rPr>
          <w:rFonts w:ascii="Times New Roman" w:hAnsi="Times New Roman"/>
        </w:rPr>
      </w:pPr>
      <w:r w:rsidRPr="00F96C2A">
        <w:rPr>
          <w:rFonts w:ascii="Times New Roman" w:hAnsi="Times New Roman"/>
        </w:rPr>
        <w:t>Żelatyna</w:t>
      </w:r>
    </w:p>
    <w:p w14:paraId="09175D50" w14:textId="77777777" w:rsidR="002E1BB7" w:rsidRPr="00633E42" w:rsidRDefault="002E1BB7" w:rsidP="008049FD">
      <w:pPr>
        <w:spacing w:after="0" w:line="240" w:lineRule="auto"/>
        <w:ind w:firstLine="180"/>
        <w:rPr>
          <w:rFonts w:ascii="Times New Roman" w:hAnsi="Times New Roman"/>
        </w:rPr>
      </w:pPr>
    </w:p>
    <w:p w14:paraId="60638BAB" w14:textId="77777777" w:rsidR="002E1BB7" w:rsidRPr="00633E42" w:rsidRDefault="002E1BB7" w:rsidP="00FE285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Niezgodności farmaceutyczne</w:t>
      </w:r>
    </w:p>
    <w:p w14:paraId="65F21581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132FF5C5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Nie dotyczy</w:t>
      </w:r>
    </w:p>
    <w:p w14:paraId="31F43C5E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01BCA5AA" w14:textId="77777777" w:rsidR="002E1BB7" w:rsidRPr="00633E42" w:rsidRDefault="002E1BB7" w:rsidP="00FE285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Okres ważności</w:t>
      </w:r>
    </w:p>
    <w:p w14:paraId="3D2C111F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5E99AC1A" w14:textId="77777777" w:rsidR="002E1BB7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3</w:t>
      </w:r>
      <w:r>
        <w:rPr>
          <w:rFonts w:ascii="Times New Roman" w:hAnsi="Times New Roman"/>
        </w:rPr>
        <w:t>0 miesięcy</w:t>
      </w:r>
    </w:p>
    <w:p w14:paraId="486C4A1F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24CC7440" w14:textId="3B5B9F33" w:rsidR="002E1BB7" w:rsidRPr="00EB34BC" w:rsidRDefault="002E1BB7" w:rsidP="00EB34BC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Specjalne środki ostrożności podczas przechowywania</w:t>
      </w:r>
    </w:p>
    <w:p w14:paraId="27149CF4" w14:textId="44F73ED2" w:rsidR="002E1BB7" w:rsidRDefault="002E1BB7">
      <w:pPr>
        <w:tabs>
          <w:tab w:val="left" w:pos="495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P</w:t>
      </w:r>
      <w:r w:rsidRPr="00633E42">
        <w:rPr>
          <w:rFonts w:ascii="Times New Roman" w:hAnsi="Times New Roman"/>
        </w:rPr>
        <w:t>rzechowywać w temperaturze po</w:t>
      </w:r>
      <w:r>
        <w:rPr>
          <w:rFonts w:ascii="Times New Roman" w:hAnsi="Times New Roman"/>
        </w:rPr>
        <w:t>ni</w:t>
      </w:r>
      <w:r w:rsidRPr="00633E42">
        <w:rPr>
          <w:rFonts w:ascii="Times New Roman" w:hAnsi="Times New Roman"/>
        </w:rPr>
        <w:t>żej 25ºC</w:t>
      </w:r>
      <w:r>
        <w:rPr>
          <w:rFonts w:ascii="Times New Roman" w:hAnsi="Times New Roman"/>
        </w:rPr>
        <w:t>, w zamkniętym, oryginalnym opakowaniu</w:t>
      </w:r>
      <w:r w:rsidRPr="00633E42">
        <w:rPr>
          <w:rFonts w:ascii="Times New Roman" w:hAnsi="Times New Roman"/>
        </w:rPr>
        <w:t>.</w:t>
      </w:r>
      <w:r w:rsidRPr="00633E42">
        <w:rPr>
          <w:rFonts w:ascii="Times New Roman" w:hAnsi="Times New Roman"/>
        </w:rPr>
        <w:tab/>
      </w:r>
    </w:p>
    <w:p w14:paraId="5CD61129" w14:textId="77777777" w:rsidR="002E1BB7" w:rsidRDefault="002E1BB7" w:rsidP="0019645F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1B5D278A" w14:textId="77777777" w:rsidR="002E1BB7" w:rsidRPr="00633E42" w:rsidRDefault="002E1BB7" w:rsidP="00FE285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Rodzaj i zawartość opakowania</w:t>
      </w:r>
    </w:p>
    <w:p w14:paraId="5FC2A436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  <w:b/>
        </w:rPr>
      </w:pPr>
    </w:p>
    <w:p w14:paraId="4922859B" w14:textId="77777777" w:rsidR="002E1BB7" w:rsidRPr="00633E42" w:rsidRDefault="002E1BB7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Blist</w:t>
      </w:r>
      <w:r>
        <w:rPr>
          <w:rFonts w:ascii="Times New Roman" w:hAnsi="Times New Roman"/>
        </w:rPr>
        <w:t>ry</w:t>
      </w:r>
      <w:r w:rsidRPr="00633E42">
        <w:rPr>
          <w:rFonts w:ascii="Times New Roman" w:hAnsi="Times New Roman"/>
        </w:rPr>
        <w:t xml:space="preserve"> PVC/PE/PVDC</w:t>
      </w:r>
      <w:r>
        <w:rPr>
          <w:rFonts w:ascii="Times New Roman" w:hAnsi="Times New Roman"/>
        </w:rPr>
        <w:t>/</w:t>
      </w:r>
      <w:r w:rsidRPr="00633E42">
        <w:rPr>
          <w:rFonts w:ascii="Times New Roman" w:hAnsi="Times New Roman"/>
        </w:rPr>
        <w:t>Aluminium</w:t>
      </w:r>
      <w:r>
        <w:rPr>
          <w:rFonts w:ascii="Times New Roman" w:hAnsi="Times New Roman"/>
        </w:rPr>
        <w:t xml:space="preserve"> w tekturowym pudełku zawierającym 30 lub 50 </w:t>
      </w:r>
      <w:r w:rsidRPr="00633E42">
        <w:rPr>
          <w:rFonts w:ascii="Times New Roman" w:hAnsi="Times New Roman"/>
        </w:rPr>
        <w:t>kapsułek</w:t>
      </w:r>
      <w:r>
        <w:rPr>
          <w:rFonts w:ascii="Times New Roman" w:hAnsi="Times New Roman"/>
        </w:rPr>
        <w:t>.</w:t>
      </w:r>
    </w:p>
    <w:p w14:paraId="4C6C6AEB" w14:textId="77777777" w:rsidR="002E1BB7" w:rsidRDefault="002E1BB7" w:rsidP="00FE2851">
      <w:pPr>
        <w:spacing w:after="0" w:line="240" w:lineRule="auto"/>
        <w:rPr>
          <w:rFonts w:ascii="Times New Roman" w:hAnsi="Times New Roman"/>
        </w:rPr>
      </w:pPr>
      <w:r w:rsidRPr="00FF6395">
        <w:rPr>
          <w:rFonts w:ascii="Times New Roman" w:hAnsi="Times New Roman"/>
        </w:rPr>
        <w:t>Nie wszystkie wielkości opakowań muszą znajdować się w obrocie.</w:t>
      </w:r>
    </w:p>
    <w:p w14:paraId="764E8A84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3E24DF4B" w14:textId="77777777" w:rsidR="002E1BB7" w:rsidRPr="00633E42" w:rsidRDefault="002E1BB7" w:rsidP="00FE285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Specjalne środki ostrożności dotyczące usuwania produktu leczniczego</w:t>
      </w:r>
    </w:p>
    <w:p w14:paraId="2797051B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67ABB3E0" w14:textId="77777777" w:rsidR="002E1BB7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 xml:space="preserve">Brak specjalnych </w:t>
      </w:r>
      <w:r>
        <w:rPr>
          <w:rFonts w:ascii="Times New Roman" w:hAnsi="Times New Roman"/>
        </w:rPr>
        <w:t>wymagań</w:t>
      </w:r>
      <w:r w:rsidRPr="00633E42">
        <w:rPr>
          <w:rFonts w:ascii="Times New Roman" w:hAnsi="Times New Roman"/>
        </w:rPr>
        <w:t>.</w:t>
      </w:r>
    </w:p>
    <w:p w14:paraId="412074C3" w14:textId="77777777" w:rsidR="002E1BB7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152C3542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5C03E557" w14:textId="77777777" w:rsidR="002E1BB7" w:rsidRPr="00633E42" w:rsidRDefault="002E1BB7" w:rsidP="00FE28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PODMIOT ODPOWIEDZIALNY POSIADAJĄCY POZWOLENIE NA DOPUSZCZENIE DO OBROTU</w:t>
      </w:r>
    </w:p>
    <w:p w14:paraId="1C821592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5DB90F20" w14:textId="77777777" w:rsidR="00034D28" w:rsidRPr="00C95682" w:rsidRDefault="00034D28" w:rsidP="00034D28">
      <w:pPr>
        <w:spacing w:after="0" w:line="240" w:lineRule="auto"/>
        <w:rPr>
          <w:rFonts w:ascii="Times New Roman" w:hAnsi="Times New Roman"/>
          <w:lang w:val="de-AT"/>
        </w:rPr>
      </w:pPr>
      <w:r w:rsidRPr="00C95682">
        <w:rPr>
          <w:rFonts w:ascii="Times New Roman" w:hAnsi="Times New Roman"/>
          <w:lang w:val="de-AT"/>
        </w:rPr>
        <w:t>G.L. Pharma GmbH</w:t>
      </w:r>
    </w:p>
    <w:p w14:paraId="1F862D4C" w14:textId="77777777" w:rsidR="00034D28" w:rsidRPr="00C95682" w:rsidRDefault="00034D28" w:rsidP="00034D28">
      <w:pPr>
        <w:spacing w:after="0" w:line="240" w:lineRule="auto"/>
        <w:rPr>
          <w:rFonts w:ascii="Times New Roman" w:hAnsi="Times New Roman"/>
          <w:lang w:val="de-AT"/>
        </w:rPr>
      </w:pPr>
      <w:r w:rsidRPr="00C95682">
        <w:rPr>
          <w:rFonts w:ascii="Times New Roman" w:hAnsi="Times New Roman"/>
          <w:lang w:val="de-AT"/>
        </w:rPr>
        <w:t>Schlossplatz 1</w:t>
      </w:r>
    </w:p>
    <w:p w14:paraId="79847AF2" w14:textId="77777777" w:rsidR="00034D28" w:rsidRPr="00034D28" w:rsidRDefault="00034D28" w:rsidP="00034D28">
      <w:pPr>
        <w:spacing w:after="0" w:line="240" w:lineRule="auto"/>
        <w:rPr>
          <w:rFonts w:ascii="Times New Roman" w:hAnsi="Times New Roman"/>
        </w:rPr>
      </w:pPr>
      <w:r w:rsidRPr="00034D28">
        <w:rPr>
          <w:rFonts w:ascii="Times New Roman" w:hAnsi="Times New Roman"/>
        </w:rPr>
        <w:t>8502 Lannach</w:t>
      </w:r>
    </w:p>
    <w:p w14:paraId="09DCC65F" w14:textId="77777777" w:rsidR="00034D28" w:rsidRDefault="00034D28" w:rsidP="00FE2851">
      <w:pPr>
        <w:spacing w:after="0" w:line="240" w:lineRule="auto"/>
        <w:rPr>
          <w:rFonts w:ascii="Times New Roman" w:hAnsi="Times New Roman"/>
        </w:rPr>
      </w:pPr>
      <w:r w:rsidRPr="00034D28">
        <w:rPr>
          <w:rFonts w:ascii="Times New Roman" w:hAnsi="Times New Roman"/>
        </w:rPr>
        <w:t xml:space="preserve">Austria </w:t>
      </w:r>
    </w:p>
    <w:p w14:paraId="176D7C4E" w14:textId="77777777" w:rsidR="002E1BB7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5E468624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5294E9B2" w14:textId="77777777" w:rsidR="002E1BB7" w:rsidRPr="00633E42" w:rsidRDefault="002E1BB7" w:rsidP="00FE28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NUMER POZWOLENIA NA DOPUSZCZENIE DO OBROTU</w:t>
      </w:r>
    </w:p>
    <w:p w14:paraId="35D62A9B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742D4716" w14:textId="6A4AE369" w:rsidR="002E1BB7" w:rsidRDefault="002E1BB7" w:rsidP="00FE2851">
      <w:pPr>
        <w:spacing w:after="0" w:line="240" w:lineRule="auto"/>
        <w:rPr>
          <w:rFonts w:ascii="Times New Roman" w:hAnsi="Times New Roman"/>
        </w:rPr>
      </w:pPr>
      <w:r w:rsidRPr="00633E42">
        <w:rPr>
          <w:rFonts w:ascii="Times New Roman" w:hAnsi="Times New Roman"/>
        </w:rPr>
        <w:t>Pozwolenie numer:</w:t>
      </w:r>
      <w:r w:rsidR="00532FE4">
        <w:rPr>
          <w:rFonts w:ascii="Times New Roman" w:hAnsi="Times New Roman"/>
        </w:rPr>
        <w:t xml:space="preserve"> 23761</w:t>
      </w:r>
    </w:p>
    <w:p w14:paraId="080CFB7A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75181AC2" w14:textId="77777777" w:rsidR="002E1BB7" w:rsidRPr="00633E42" w:rsidRDefault="002E1BB7" w:rsidP="00FE2851">
      <w:pPr>
        <w:pStyle w:val="Akapitzlist"/>
        <w:spacing w:after="0" w:line="240" w:lineRule="auto"/>
        <w:ind w:left="1068"/>
        <w:rPr>
          <w:rFonts w:ascii="Times New Roman" w:hAnsi="Times New Roman"/>
        </w:rPr>
      </w:pPr>
    </w:p>
    <w:p w14:paraId="38C78175" w14:textId="77777777" w:rsidR="002E1BB7" w:rsidRPr="00633E42" w:rsidRDefault="002E1BB7" w:rsidP="00FE28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DATA WYDANIA PIERWSZEGO POZWOLENIA NA DOPUSZCZENIE DO OBROTU</w:t>
      </w:r>
      <w:r>
        <w:rPr>
          <w:rFonts w:ascii="Times New Roman" w:hAnsi="Times New Roman"/>
          <w:b/>
        </w:rPr>
        <w:t xml:space="preserve"> I DATA PRZEDŁUŻENIA POZWOLENIA</w:t>
      </w:r>
    </w:p>
    <w:p w14:paraId="58BE3E71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156E6632" w14:textId="56033418" w:rsidR="002E1BB7" w:rsidRPr="00633E42" w:rsidRDefault="00532FE4" w:rsidP="00FE28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22.02.2017</w:t>
      </w:r>
    </w:p>
    <w:p w14:paraId="47534A48" w14:textId="77777777" w:rsidR="002E1BB7" w:rsidRPr="00633E42" w:rsidRDefault="002E1BB7" w:rsidP="00FE2851">
      <w:pPr>
        <w:spacing w:after="0" w:line="240" w:lineRule="auto"/>
        <w:rPr>
          <w:rFonts w:ascii="Times New Roman" w:hAnsi="Times New Roman"/>
        </w:rPr>
      </w:pPr>
    </w:p>
    <w:p w14:paraId="615575E2" w14:textId="2C935BCA" w:rsidR="00532FE4" w:rsidRDefault="002E1BB7" w:rsidP="00FE28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33E42">
        <w:rPr>
          <w:rFonts w:ascii="Times New Roman" w:hAnsi="Times New Roman"/>
          <w:b/>
        </w:rPr>
        <w:t>DATA ZATWIERDZENIA LUB CZĘŚCIOWEJ ZMIANY TEKSTU CHARAKTERYSTYKI PRODUKTU LECZNICZEGO</w:t>
      </w:r>
    </w:p>
    <w:p w14:paraId="2C352B3A" w14:textId="77777777" w:rsidR="002E1BB7" w:rsidRDefault="002E1BB7" w:rsidP="00532FE4"/>
    <w:p w14:paraId="0EC8178E" w14:textId="0C0DD7B8" w:rsidR="00532FE4" w:rsidRPr="00532FE4" w:rsidRDefault="0046253E" w:rsidP="00532FE4">
      <w:r>
        <w:rPr>
          <w:rFonts w:ascii="Times New Roman" w:hAnsi="Times New Roman"/>
        </w:rPr>
        <w:t>13.11.2019</w:t>
      </w:r>
    </w:p>
    <w:sectPr w:rsidR="00532FE4" w:rsidRPr="00532FE4" w:rsidSect="00AE76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5404E" w14:textId="77777777" w:rsidR="00DF0530" w:rsidRDefault="00DF0530" w:rsidP="008A1556">
      <w:pPr>
        <w:spacing w:after="0" w:line="240" w:lineRule="auto"/>
      </w:pPr>
      <w:r>
        <w:separator/>
      </w:r>
    </w:p>
  </w:endnote>
  <w:endnote w:type="continuationSeparator" w:id="0">
    <w:p w14:paraId="4088566F" w14:textId="77777777" w:rsidR="00DF0530" w:rsidRDefault="00DF0530" w:rsidP="008A1556">
      <w:pPr>
        <w:spacing w:after="0" w:line="240" w:lineRule="auto"/>
      </w:pPr>
      <w:r>
        <w:continuationSeparator/>
      </w:r>
    </w:p>
  </w:endnote>
  <w:endnote w:type="continuationNotice" w:id="1">
    <w:p w14:paraId="50A99B37" w14:textId="77777777" w:rsidR="00DF0530" w:rsidRDefault="00DF05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01532" w14:textId="77777777" w:rsidR="00A95360" w:rsidRPr="00982444" w:rsidRDefault="00A95360">
    <w:pPr>
      <w:pStyle w:val="Stopka"/>
      <w:jc w:val="center"/>
      <w:rPr>
        <w:rFonts w:ascii="Times New Roman" w:hAnsi="Times New Roman"/>
      </w:rPr>
    </w:pPr>
    <w:r w:rsidRPr="00982444">
      <w:rPr>
        <w:rFonts w:ascii="Times New Roman" w:hAnsi="Times New Roman"/>
      </w:rPr>
      <w:fldChar w:fldCharType="begin"/>
    </w:r>
    <w:r w:rsidRPr="00982444">
      <w:rPr>
        <w:rFonts w:ascii="Times New Roman" w:hAnsi="Times New Roman"/>
      </w:rPr>
      <w:instrText xml:space="preserve">PAGE   </w:instrText>
    </w:r>
    <w:r w:rsidRPr="00055897">
      <w:rPr>
        <w:rFonts w:ascii="Times New Roman" w:hAnsi="Times New Roman"/>
      </w:rPr>
      <w:instrText>\</w:instrText>
    </w:r>
    <w:r w:rsidRPr="00982444">
      <w:rPr>
        <w:rFonts w:ascii="Times New Roman" w:hAnsi="Times New Roman"/>
      </w:rPr>
      <w:instrText>* MERGEFORMAT</w:instrText>
    </w:r>
    <w:r w:rsidRPr="00982444">
      <w:rPr>
        <w:rFonts w:ascii="Times New Roman" w:hAnsi="Times New Roman"/>
      </w:rPr>
      <w:fldChar w:fldCharType="separate"/>
    </w:r>
    <w:r w:rsidR="00D51714">
      <w:rPr>
        <w:rFonts w:ascii="Times New Roman" w:hAnsi="Times New Roman"/>
        <w:noProof/>
      </w:rPr>
      <w:t>14</w:t>
    </w:r>
    <w:r w:rsidRPr="00982444">
      <w:rPr>
        <w:rFonts w:ascii="Times New Roman" w:hAnsi="Times New Roman"/>
      </w:rPr>
      <w:fldChar w:fldCharType="end"/>
    </w:r>
  </w:p>
  <w:p w14:paraId="1D19ECF1" w14:textId="77777777" w:rsidR="00A95360" w:rsidRDefault="00A95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A3D06" w14:textId="77777777" w:rsidR="00DF0530" w:rsidRDefault="00DF0530" w:rsidP="008A1556">
      <w:pPr>
        <w:spacing w:after="0" w:line="240" w:lineRule="auto"/>
      </w:pPr>
      <w:r>
        <w:separator/>
      </w:r>
    </w:p>
  </w:footnote>
  <w:footnote w:type="continuationSeparator" w:id="0">
    <w:p w14:paraId="24130F1E" w14:textId="77777777" w:rsidR="00DF0530" w:rsidRDefault="00DF0530" w:rsidP="008A1556">
      <w:pPr>
        <w:spacing w:after="0" w:line="240" w:lineRule="auto"/>
      </w:pPr>
      <w:r>
        <w:continuationSeparator/>
      </w:r>
    </w:p>
  </w:footnote>
  <w:footnote w:type="continuationNotice" w:id="1">
    <w:p w14:paraId="18C98C42" w14:textId="77777777" w:rsidR="00DF0530" w:rsidRDefault="00DF05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B5FD" w14:textId="77777777" w:rsidR="00A95360" w:rsidRDefault="00A953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2EF"/>
    <w:multiLevelType w:val="hybridMultilevel"/>
    <w:tmpl w:val="74EE41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D7AD5"/>
    <w:multiLevelType w:val="hybridMultilevel"/>
    <w:tmpl w:val="1A7A3DAE"/>
    <w:lvl w:ilvl="0" w:tplc="2534C17C">
      <w:start w:val="2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00B83"/>
    <w:multiLevelType w:val="hybridMultilevel"/>
    <w:tmpl w:val="CA107094"/>
    <w:lvl w:ilvl="0" w:tplc="2534C17C">
      <w:start w:val="2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C3D1F"/>
    <w:multiLevelType w:val="hybridMultilevel"/>
    <w:tmpl w:val="FDBE0DB0"/>
    <w:lvl w:ilvl="0" w:tplc="2534C17C">
      <w:start w:val="2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E01E3"/>
    <w:multiLevelType w:val="hybridMultilevel"/>
    <w:tmpl w:val="05A02E8A"/>
    <w:lvl w:ilvl="0" w:tplc="2534C17C">
      <w:start w:val="2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882730"/>
    <w:multiLevelType w:val="hybridMultilevel"/>
    <w:tmpl w:val="1F36E406"/>
    <w:lvl w:ilvl="0" w:tplc="C6D09E60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55AE3"/>
    <w:multiLevelType w:val="multilevel"/>
    <w:tmpl w:val="7206B1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35C74A54"/>
    <w:multiLevelType w:val="hybridMultilevel"/>
    <w:tmpl w:val="8E107F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F6644"/>
    <w:multiLevelType w:val="hybridMultilevel"/>
    <w:tmpl w:val="0846D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9389F"/>
    <w:multiLevelType w:val="hybridMultilevel"/>
    <w:tmpl w:val="B1ACB4EA"/>
    <w:lvl w:ilvl="0" w:tplc="2534C17C">
      <w:start w:val="2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3357BF"/>
    <w:multiLevelType w:val="hybridMultilevel"/>
    <w:tmpl w:val="89527556"/>
    <w:lvl w:ilvl="0" w:tplc="C9AC59E6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FC25B72"/>
    <w:multiLevelType w:val="hybridMultilevel"/>
    <w:tmpl w:val="391A08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1222D"/>
    <w:multiLevelType w:val="hybridMultilevel"/>
    <w:tmpl w:val="7EC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513DF"/>
    <w:multiLevelType w:val="hybridMultilevel"/>
    <w:tmpl w:val="032029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0255"/>
    <w:rsid w:val="00004B08"/>
    <w:rsid w:val="00004D97"/>
    <w:rsid w:val="00023A21"/>
    <w:rsid w:val="00025F96"/>
    <w:rsid w:val="00034D28"/>
    <w:rsid w:val="00040626"/>
    <w:rsid w:val="000441CE"/>
    <w:rsid w:val="00053C27"/>
    <w:rsid w:val="00055897"/>
    <w:rsid w:val="00063498"/>
    <w:rsid w:val="00065C7B"/>
    <w:rsid w:val="00070714"/>
    <w:rsid w:val="00081B41"/>
    <w:rsid w:val="00084532"/>
    <w:rsid w:val="0009571A"/>
    <w:rsid w:val="000A3C41"/>
    <w:rsid w:val="000B281E"/>
    <w:rsid w:val="000C2196"/>
    <w:rsid w:val="000C45CE"/>
    <w:rsid w:val="000D3CD1"/>
    <w:rsid w:val="000D495C"/>
    <w:rsid w:val="000E7A31"/>
    <w:rsid w:val="000F00D1"/>
    <w:rsid w:val="000F78A5"/>
    <w:rsid w:val="000F7995"/>
    <w:rsid w:val="00100660"/>
    <w:rsid w:val="001014E7"/>
    <w:rsid w:val="001022BD"/>
    <w:rsid w:val="00107F34"/>
    <w:rsid w:val="00114232"/>
    <w:rsid w:val="00133D69"/>
    <w:rsid w:val="00135E06"/>
    <w:rsid w:val="00143FD6"/>
    <w:rsid w:val="00153C94"/>
    <w:rsid w:val="0016190B"/>
    <w:rsid w:val="0016570C"/>
    <w:rsid w:val="00170788"/>
    <w:rsid w:val="0017430A"/>
    <w:rsid w:val="00176DFA"/>
    <w:rsid w:val="00184E34"/>
    <w:rsid w:val="0019645F"/>
    <w:rsid w:val="001C22BF"/>
    <w:rsid w:val="001C2C8D"/>
    <w:rsid w:val="001C4D8C"/>
    <w:rsid w:val="001D0950"/>
    <w:rsid w:val="001D6C82"/>
    <w:rsid w:val="001E34AF"/>
    <w:rsid w:val="001E3BFA"/>
    <w:rsid w:val="001F0E7A"/>
    <w:rsid w:val="002027AE"/>
    <w:rsid w:val="0020446C"/>
    <w:rsid w:val="0023057A"/>
    <w:rsid w:val="0023258E"/>
    <w:rsid w:val="002379C9"/>
    <w:rsid w:val="0024358C"/>
    <w:rsid w:val="00244FC9"/>
    <w:rsid w:val="00252BFC"/>
    <w:rsid w:val="00252C0C"/>
    <w:rsid w:val="00252DEC"/>
    <w:rsid w:val="00274D93"/>
    <w:rsid w:val="0028553A"/>
    <w:rsid w:val="0029165F"/>
    <w:rsid w:val="0029393E"/>
    <w:rsid w:val="002950FB"/>
    <w:rsid w:val="00295603"/>
    <w:rsid w:val="00295D86"/>
    <w:rsid w:val="002A122D"/>
    <w:rsid w:val="002A2E37"/>
    <w:rsid w:val="002B60E8"/>
    <w:rsid w:val="002C00CE"/>
    <w:rsid w:val="002C2181"/>
    <w:rsid w:val="002D1B56"/>
    <w:rsid w:val="002E1BB7"/>
    <w:rsid w:val="002E635A"/>
    <w:rsid w:val="002E6A97"/>
    <w:rsid w:val="002F2B18"/>
    <w:rsid w:val="002F78A9"/>
    <w:rsid w:val="00301DAC"/>
    <w:rsid w:val="00312497"/>
    <w:rsid w:val="00312C8D"/>
    <w:rsid w:val="003219A2"/>
    <w:rsid w:val="0032700B"/>
    <w:rsid w:val="00327641"/>
    <w:rsid w:val="003331BC"/>
    <w:rsid w:val="00334323"/>
    <w:rsid w:val="00334DE8"/>
    <w:rsid w:val="00335931"/>
    <w:rsid w:val="0033793E"/>
    <w:rsid w:val="00341FE7"/>
    <w:rsid w:val="0034656B"/>
    <w:rsid w:val="003500FB"/>
    <w:rsid w:val="00350F9B"/>
    <w:rsid w:val="00365D2B"/>
    <w:rsid w:val="00366C6B"/>
    <w:rsid w:val="00371AD3"/>
    <w:rsid w:val="0037582E"/>
    <w:rsid w:val="003877AA"/>
    <w:rsid w:val="003A0B4C"/>
    <w:rsid w:val="003A33C6"/>
    <w:rsid w:val="003A4183"/>
    <w:rsid w:val="003A4DC6"/>
    <w:rsid w:val="003B5BF4"/>
    <w:rsid w:val="003C57D0"/>
    <w:rsid w:val="003C7A57"/>
    <w:rsid w:val="003D7F6F"/>
    <w:rsid w:val="003E23E6"/>
    <w:rsid w:val="003E3F22"/>
    <w:rsid w:val="00403A7B"/>
    <w:rsid w:val="00410149"/>
    <w:rsid w:val="004121D7"/>
    <w:rsid w:val="00426A47"/>
    <w:rsid w:val="00431050"/>
    <w:rsid w:val="004413E0"/>
    <w:rsid w:val="0044222B"/>
    <w:rsid w:val="00451A4E"/>
    <w:rsid w:val="00455C22"/>
    <w:rsid w:val="004577AE"/>
    <w:rsid w:val="0046253E"/>
    <w:rsid w:val="00464278"/>
    <w:rsid w:val="00465653"/>
    <w:rsid w:val="00470DCD"/>
    <w:rsid w:val="00473F26"/>
    <w:rsid w:val="00475806"/>
    <w:rsid w:val="00476421"/>
    <w:rsid w:val="00480C3F"/>
    <w:rsid w:val="004C3013"/>
    <w:rsid w:val="004C495F"/>
    <w:rsid w:val="004D0347"/>
    <w:rsid w:val="004D6971"/>
    <w:rsid w:val="004E259B"/>
    <w:rsid w:val="004E38C8"/>
    <w:rsid w:val="004E5619"/>
    <w:rsid w:val="004F7825"/>
    <w:rsid w:val="004F784B"/>
    <w:rsid w:val="00504DF9"/>
    <w:rsid w:val="00505832"/>
    <w:rsid w:val="0052335F"/>
    <w:rsid w:val="0052363F"/>
    <w:rsid w:val="00527583"/>
    <w:rsid w:val="00532CA3"/>
    <w:rsid w:val="00532FE4"/>
    <w:rsid w:val="00535C6D"/>
    <w:rsid w:val="00537AF9"/>
    <w:rsid w:val="005405B9"/>
    <w:rsid w:val="0055354F"/>
    <w:rsid w:val="00563F1B"/>
    <w:rsid w:val="00572369"/>
    <w:rsid w:val="00572777"/>
    <w:rsid w:val="0057287A"/>
    <w:rsid w:val="00581357"/>
    <w:rsid w:val="00583CC2"/>
    <w:rsid w:val="0059310A"/>
    <w:rsid w:val="00596B37"/>
    <w:rsid w:val="005E2B1C"/>
    <w:rsid w:val="005E2C5C"/>
    <w:rsid w:val="005E6BA7"/>
    <w:rsid w:val="005E74D5"/>
    <w:rsid w:val="005E7AB5"/>
    <w:rsid w:val="005F7EBA"/>
    <w:rsid w:val="006042AA"/>
    <w:rsid w:val="00606DDE"/>
    <w:rsid w:val="00615EBE"/>
    <w:rsid w:val="00617559"/>
    <w:rsid w:val="00617959"/>
    <w:rsid w:val="006203C9"/>
    <w:rsid w:val="00620E41"/>
    <w:rsid w:val="006214B2"/>
    <w:rsid w:val="00626DE6"/>
    <w:rsid w:val="0063141E"/>
    <w:rsid w:val="00633E42"/>
    <w:rsid w:val="0063687F"/>
    <w:rsid w:val="006437E7"/>
    <w:rsid w:val="00660440"/>
    <w:rsid w:val="00673004"/>
    <w:rsid w:val="00673681"/>
    <w:rsid w:val="00674B9A"/>
    <w:rsid w:val="00680D62"/>
    <w:rsid w:val="00682DE2"/>
    <w:rsid w:val="00692BB3"/>
    <w:rsid w:val="00694187"/>
    <w:rsid w:val="00697E53"/>
    <w:rsid w:val="006A4F23"/>
    <w:rsid w:val="006B4BC3"/>
    <w:rsid w:val="006B54DE"/>
    <w:rsid w:val="006C78E1"/>
    <w:rsid w:val="006D2DB2"/>
    <w:rsid w:val="006D5F61"/>
    <w:rsid w:val="006D773C"/>
    <w:rsid w:val="006E2EE8"/>
    <w:rsid w:val="006E3C74"/>
    <w:rsid w:val="006E5B4E"/>
    <w:rsid w:val="00702E85"/>
    <w:rsid w:val="007036FA"/>
    <w:rsid w:val="00717CB6"/>
    <w:rsid w:val="00744A40"/>
    <w:rsid w:val="00746FEE"/>
    <w:rsid w:val="00753106"/>
    <w:rsid w:val="007551E7"/>
    <w:rsid w:val="00757F4B"/>
    <w:rsid w:val="00774FA4"/>
    <w:rsid w:val="0078028B"/>
    <w:rsid w:val="00784E28"/>
    <w:rsid w:val="00787488"/>
    <w:rsid w:val="0079393D"/>
    <w:rsid w:val="00796072"/>
    <w:rsid w:val="007A55A3"/>
    <w:rsid w:val="007A791E"/>
    <w:rsid w:val="007C362A"/>
    <w:rsid w:val="007D51F2"/>
    <w:rsid w:val="007E748F"/>
    <w:rsid w:val="007F2BCA"/>
    <w:rsid w:val="007F5677"/>
    <w:rsid w:val="008049FD"/>
    <w:rsid w:val="00806C72"/>
    <w:rsid w:val="00827F19"/>
    <w:rsid w:val="0083199D"/>
    <w:rsid w:val="00831D34"/>
    <w:rsid w:val="00832094"/>
    <w:rsid w:val="00836E67"/>
    <w:rsid w:val="00837272"/>
    <w:rsid w:val="0085374C"/>
    <w:rsid w:val="00855D7B"/>
    <w:rsid w:val="00855DB9"/>
    <w:rsid w:val="0087015E"/>
    <w:rsid w:val="00875C8F"/>
    <w:rsid w:val="00875F9C"/>
    <w:rsid w:val="00881780"/>
    <w:rsid w:val="00883189"/>
    <w:rsid w:val="0088436D"/>
    <w:rsid w:val="00893432"/>
    <w:rsid w:val="00895D5B"/>
    <w:rsid w:val="00896D70"/>
    <w:rsid w:val="008A1556"/>
    <w:rsid w:val="008A1CC9"/>
    <w:rsid w:val="008B1546"/>
    <w:rsid w:val="008B41B1"/>
    <w:rsid w:val="008B49E0"/>
    <w:rsid w:val="008B7226"/>
    <w:rsid w:val="008B7671"/>
    <w:rsid w:val="008C16B6"/>
    <w:rsid w:val="008C4B67"/>
    <w:rsid w:val="008D5952"/>
    <w:rsid w:val="008D70D8"/>
    <w:rsid w:val="008E55DE"/>
    <w:rsid w:val="008E6B9D"/>
    <w:rsid w:val="008F235B"/>
    <w:rsid w:val="009010CE"/>
    <w:rsid w:val="009017DD"/>
    <w:rsid w:val="009051B2"/>
    <w:rsid w:val="00912595"/>
    <w:rsid w:val="00924D9A"/>
    <w:rsid w:val="009263B1"/>
    <w:rsid w:val="0092719E"/>
    <w:rsid w:val="0093205D"/>
    <w:rsid w:val="009370B6"/>
    <w:rsid w:val="0094250B"/>
    <w:rsid w:val="00947A2C"/>
    <w:rsid w:val="0095372D"/>
    <w:rsid w:val="0095463A"/>
    <w:rsid w:val="00980325"/>
    <w:rsid w:val="00982444"/>
    <w:rsid w:val="00982F7E"/>
    <w:rsid w:val="009867CD"/>
    <w:rsid w:val="009875BE"/>
    <w:rsid w:val="0099300C"/>
    <w:rsid w:val="009C5636"/>
    <w:rsid w:val="009C5761"/>
    <w:rsid w:val="009D7339"/>
    <w:rsid w:val="009E3BCA"/>
    <w:rsid w:val="009E444E"/>
    <w:rsid w:val="009F619B"/>
    <w:rsid w:val="00A02598"/>
    <w:rsid w:val="00A062C1"/>
    <w:rsid w:val="00A13117"/>
    <w:rsid w:val="00A153B4"/>
    <w:rsid w:val="00A26050"/>
    <w:rsid w:val="00A32D97"/>
    <w:rsid w:val="00A377F1"/>
    <w:rsid w:val="00A40090"/>
    <w:rsid w:val="00A5112A"/>
    <w:rsid w:val="00A556B3"/>
    <w:rsid w:val="00A64783"/>
    <w:rsid w:val="00A66985"/>
    <w:rsid w:val="00A82DCE"/>
    <w:rsid w:val="00A858C1"/>
    <w:rsid w:val="00A86EAD"/>
    <w:rsid w:val="00A93DF8"/>
    <w:rsid w:val="00A95360"/>
    <w:rsid w:val="00A97D6D"/>
    <w:rsid w:val="00AA1CFF"/>
    <w:rsid w:val="00AB3BB3"/>
    <w:rsid w:val="00AC205B"/>
    <w:rsid w:val="00AC4F58"/>
    <w:rsid w:val="00AD00EF"/>
    <w:rsid w:val="00AD0A7C"/>
    <w:rsid w:val="00AD7CAD"/>
    <w:rsid w:val="00AE5E0C"/>
    <w:rsid w:val="00AE76B4"/>
    <w:rsid w:val="00B03004"/>
    <w:rsid w:val="00B137D2"/>
    <w:rsid w:val="00B211E6"/>
    <w:rsid w:val="00B36C25"/>
    <w:rsid w:val="00B424F2"/>
    <w:rsid w:val="00B426D2"/>
    <w:rsid w:val="00B47D26"/>
    <w:rsid w:val="00B57C2B"/>
    <w:rsid w:val="00B57FA5"/>
    <w:rsid w:val="00B66CAF"/>
    <w:rsid w:val="00B67F46"/>
    <w:rsid w:val="00B80C57"/>
    <w:rsid w:val="00B83533"/>
    <w:rsid w:val="00B873C2"/>
    <w:rsid w:val="00B8791A"/>
    <w:rsid w:val="00B920D0"/>
    <w:rsid w:val="00B925A6"/>
    <w:rsid w:val="00B97091"/>
    <w:rsid w:val="00BA6DB6"/>
    <w:rsid w:val="00BB0255"/>
    <w:rsid w:val="00BB30FF"/>
    <w:rsid w:val="00BB4A1F"/>
    <w:rsid w:val="00BC5B1E"/>
    <w:rsid w:val="00BD18BD"/>
    <w:rsid w:val="00BD2D2E"/>
    <w:rsid w:val="00BD41F9"/>
    <w:rsid w:val="00BE3316"/>
    <w:rsid w:val="00BE3D94"/>
    <w:rsid w:val="00C10528"/>
    <w:rsid w:val="00C25A50"/>
    <w:rsid w:val="00C31EE6"/>
    <w:rsid w:val="00C4163A"/>
    <w:rsid w:val="00C44B50"/>
    <w:rsid w:val="00C4799B"/>
    <w:rsid w:val="00C67B3F"/>
    <w:rsid w:val="00C741D8"/>
    <w:rsid w:val="00C82277"/>
    <w:rsid w:val="00C87E95"/>
    <w:rsid w:val="00C90C2C"/>
    <w:rsid w:val="00C92A8E"/>
    <w:rsid w:val="00C9377B"/>
    <w:rsid w:val="00C95682"/>
    <w:rsid w:val="00CA4126"/>
    <w:rsid w:val="00CA7FD4"/>
    <w:rsid w:val="00CB0512"/>
    <w:rsid w:val="00CB2BDD"/>
    <w:rsid w:val="00CB67BF"/>
    <w:rsid w:val="00CD0D16"/>
    <w:rsid w:val="00CD5379"/>
    <w:rsid w:val="00CD6260"/>
    <w:rsid w:val="00CD7828"/>
    <w:rsid w:val="00CE498B"/>
    <w:rsid w:val="00CE4F18"/>
    <w:rsid w:val="00CF7491"/>
    <w:rsid w:val="00D039C4"/>
    <w:rsid w:val="00D112C4"/>
    <w:rsid w:val="00D15F43"/>
    <w:rsid w:val="00D2066D"/>
    <w:rsid w:val="00D22A48"/>
    <w:rsid w:val="00D314F3"/>
    <w:rsid w:val="00D41E29"/>
    <w:rsid w:val="00D43ADC"/>
    <w:rsid w:val="00D508C3"/>
    <w:rsid w:val="00D51714"/>
    <w:rsid w:val="00D65F64"/>
    <w:rsid w:val="00D66DF5"/>
    <w:rsid w:val="00D70518"/>
    <w:rsid w:val="00D7075B"/>
    <w:rsid w:val="00D8240C"/>
    <w:rsid w:val="00D875AB"/>
    <w:rsid w:val="00D95426"/>
    <w:rsid w:val="00DA4342"/>
    <w:rsid w:val="00DA72F9"/>
    <w:rsid w:val="00DB5352"/>
    <w:rsid w:val="00DD0266"/>
    <w:rsid w:val="00DE20C1"/>
    <w:rsid w:val="00DF0530"/>
    <w:rsid w:val="00DF0725"/>
    <w:rsid w:val="00E216F3"/>
    <w:rsid w:val="00E258DF"/>
    <w:rsid w:val="00E265EE"/>
    <w:rsid w:val="00E27ACB"/>
    <w:rsid w:val="00E355CB"/>
    <w:rsid w:val="00E36FC3"/>
    <w:rsid w:val="00E40606"/>
    <w:rsid w:val="00E43869"/>
    <w:rsid w:val="00E46E1C"/>
    <w:rsid w:val="00E647B0"/>
    <w:rsid w:val="00E65C41"/>
    <w:rsid w:val="00E77187"/>
    <w:rsid w:val="00E9132B"/>
    <w:rsid w:val="00E92554"/>
    <w:rsid w:val="00E943B8"/>
    <w:rsid w:val="00E96CBE"/>
    <w:rsid w:val="00EA165D"/>
    <w:rsid w:val="00EB15F3"/>
    <w:rsid w:val="00EB1725"/>
    <w:rsid w:val="00EB206D"/>
    <w:rsid w:val="00EB34BC"/>
    <w:rsid w:val="00EC2DC7"/>
    <w:rsid w:val="00EE0FE7"/>
    <w:rsid w:val="00EE6E91"/>
    <w:rsid w:val="00EE6F0E"/>
    <w:rsid w:val="00EE7E62"/>
    <w:rsid w:val="00F13027"/>
    <w:rsid w:val="00F27EFF"/>
    <w:rsid w:val="00F3495B"/>
    <w:rsid w:val="00F45FAE"/>
    <w:rsid w:val="00F46BD7"/>
    <w:rsid w:val="00F46D38"/>
    <w:rsid w:val="00F50DB8"/>
    <w:rsid w:val="00F63591"/>
    <w:rsid w:val="00F643A4"/>
    <w:rsid w:val="00F66254"/>
    <w:rsid w:val="00F66A1F"/>
    <w:rsid w:val="00F772C3"/>
    <w:rsid w:val="00F779CA"/>
    <w:rsid w:val="00F956C7"/>
    <w:rsid w:val="00F96C2A"/>
    <w:rsid w:val="00FA7A4D"/>
    <w:rsid w:val="00FB3A51"/>
    <w:rsid w:val="00FE2851"/>
    <w:rsid w:val="00FE7170"/>
    <w:rsid w:val="00FF6395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C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07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8244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A1556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8244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A155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70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70D8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9425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464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64278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6427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0C45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45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5589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C4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5897"/>
    <w:rPr>
      <w:rFonts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C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07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8244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A1556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8244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A155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70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70D8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9425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464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64278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6427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0C45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45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5589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C4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5897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F6AF-1E43-416C-B324-98194233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5930</Words>
  <Characters>35584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Media Regionalne Sp. z o.o.</Company>
  <LinksUpToDate>false</LinksUpToDate>
  <CharactersWithSpaces>41432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Dobrzelewska</dc:creator>
  <cp:lastModifiedBy>MS</cp:lastModifiedBy>
  <cp:revision>4</cp:revision>
  <cp:lastPrinted>2017-03-20T09:54:00Z</cp:lastPrinted>
  <dcterms:created xsi:type="dcterms:W3CDTF">2019-11-06T12:32:00Z</dcterms:created>
  <dcterms:modified xsi:type="dcterms:W3CDTF">2020-07-29T06:34:00Z</dcterms:modified>
</cp:coreProperties>
</file>