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720C" w14:textId="77777777" w:rsidR="00C75B69" w:rsidRPr="00804996" w:rsidRDefault="00B46DB0" w:rsidP="00AD4B58">
      <w:pPr>
        <w:suppressAutoHyphens/>
        <w:ind w:left="567" w:hanging="567"/>
        <w:jc w:val="center"/>
      </w:pPr>
      <w:r w:rsidRPr="00804996">
        <w:rPr>
          <w:b/>
          <w:bCs/>
        </w:rPr>
        <w:t>RIASSUNTO DELLE CARATTERISTICHE DEL PRODOTTO</w:t>
      </w:r>
    </w:p>
    <w:p w14:paraId="349A372A" w14:textId="77777777" w:rsidR="00C10E69" w:rsidRPr="00804996" w:rsidRDefault="00C10E69" w:rsidP="00B46DB0"/>
    <w:p w14:paraId="1B430307" w14:textId="7A307976" w:rsidR="00655B86" w:rsidRPr="00804996" w:rsidRDefault="00655B86" w:rsidP="00AD4B58">
      <w:pPr>
        <w:suppressAutoHyphens/>
        <w:ind w:left="567" w:hanging="567"/>
      </w:pPr>
    </w:p>
    <w:p w14:paraId="74D7E2EE" w14:textId="77777777" w:rsidR="00C75B69" w:rsidRPr="00804996" w:rsidRDefault="00B46DB0" w:rsidP="00AD4B58">
      <w:pPr>
        <w:suppressAutoHyphens/>
        <w:ind w:left="567" w:hanging="567"/>
      </w:pPr>
      <w:r w:rsidRPr="00804996">
        <w:rPr>
          <w:b/>
        </w:rPr>
        <w:t>1.</w:t>
      </w:r>
      <w:r w:rsidRPr="00804996">
        <w:rPr>
          <w:b/>
        </w:rPr>
        <w:tab/>
        <w:t>DENOMINAZIONE DEL MEDICINALE</w:t>
      </w:r>
    </w:p>
    <w:p w14:paraId="1929B7EE" w14:textId="77777777" w:rsidR="00C75B69" w:rsidRPr="009A79CA" w:rsidRDefault="00C75B69" w:rsidP="00AD4B58">
      <w:pPr>
        <w:suppressAutoHyphens/>
      </w:pPr>
    </w:p>
    <w:p w14:paraId="7081D57D" w14:textId="637F987D" w:rsidR="00E30A31" w:rsidRPr="009A79CA" w:rsidRDefault="00E30A31" w:rsidP="00AD4B58">
      <w:pPr>
        <w:suppressAutoHyphens/>
      </w:pPr>
      <w:proofErr w:type="spellStart"/>
      <w:r w:rsidRPr="009A79CA">
        <w:t>Sublifen</w:t>
      </w:r>
      <w:proofErr w:type="spellEnd"/>
      <w:r w:rsidRPr="009A79CA">
        <w:t xml:space="preserve"> 100</w:t>
      </w:r>
      <w:r w:rsidR="005C39E4" w:rsidRPr="00902419">
        <w:rPr>
          <w:noProof/>
        </w:rPr>
        <w:t> </w:t>
      </w:r>
      <w:r w:rsidRPr="009A79CA">
        <w:t xml:space="preserve">microgrammi compresse sublinguali </w:t>
      </w:r>
    </w:p>
    <w:p w14:paraId="3FE806CF" w14:textId="3109E2D4" w:rsidR="00E30A31" w:rsidRPr="002D2FE7" w:rsidRDefault="00E30A31" w:rsidP="00E30A31">
      <w:pPr>
        <w:widowControl w:val="0"/>
        <w:tabs>
          <w:tab w:val="left" w:pos="567"/>
        </w:tabs>
        <w:rPr>
          <w:noProof/>
          <w:szCs w:val="22"/>
          <w:shd w:val="clear" w:color="auto" w:fill="F2F2F2" w:themeFill="background1" w:themeFillShade="F2"/>
        </w:rPr>
      </w:pPr>
      <w:r w:rsidRPr="002D2FE7">
        <w:rPr>
          <w:noProof/>
          <w:szCs w:val="22"/>
          <w:shd w:val="clear" w:color="auto" w:fill="F2F2F2" w:themeFill="background1" w:themeFillShade="F2"/>
        </w:rPr>
        <w:t>Sublifen 200</w:t>
      </w:r>
      <w:r w:rsidR="005C39E4" w:rsidRPr="00902419">
        <w:rPr>
          <w:noProof/>
          <w:szCs w:val="22"/>
          <w:shd w:val="clear" w:color="auto" w:fill="F2F2F2" w:themeFill="background1" w:themeFillShade="F2"/>
        </w:rPr>
        <w:t> </w:t>
      </w:r>
      <w:r w:rsidRPr="002D2FE7">
        <w:rPr>
          <w:noProof/>
          <w:szCs w:val="22"/>
          <w:shd w:val="clear" w:color="auto" w:fill="F2F2F2" w:themeFill="background1" w:themeFillShade="F2"/>
        </w:rPr>
        <w:t xml:space="preserve">microgrammi compresse sublinguali </w:t>
      </w:r>
    </w:p>
    <w:p w14:paraId="435A0A57" w14:textId="634FBCAD" w:rsidR="00E30A31" w:rsidRPr="002D2FE7" w:rsidRDefault="00E30A31" w:rsidP="00E30A31">
      <w:pPr>
        <w:suppressAutoHyphens/>
        <w:rPr>
          <w:noProof/>
          <w:szCs w:val="22"/>
          <w:shd w:val="clear" w:color="auto" w:fill="D9D9D9" w:themeFill="background1" w:themeFillShade="D9"/>
        </w:rPr>
      </w:pPr>
      <w:r w:rsidRPr="002D2FE7">
        <w:rPr>
          <w:noProof/>
          <w:szCs w:val="22"/>
          <w:shd w:val="clear" w:color="auto" w:fill="D9D9D9" w:themeFill="background1" w:themeFillShade="D9"/>
        </w:rPr>
        <w:t>Sublifen 300</w:t>
      </w:r>
      <w:r w:rsidR="005C39E4" w:rsidRPr="00902419">
        <w:rPr>
          <w:noProof/>
          <w:szCs w:val="22"/>
          <w:shd w:val="clear" w:color="auto" w:fill="D9D9D9" w:themeFill="background1" w:themeFillShade="D9"/>
        </w:rPr>
        <w:t> </w:t>
      </w:r>
      <w:r w:rsidRPr="002D2FE7">
        <w:rPr>
          <w:noProof/>
          <w:szCs w:val="22"/>
          <w:shd w:val="clear" w:color="auto" w:fill="D9D9D9" w:themeFill="background1" w:themeFillShade="D9"/>
        </w:rPr>
        <w:t xml:space="preserve">microgrammi compresse sublinguali </w:t>
      </w:r>
    </w:p>
    <w:p w14:paraId="704B8EF5" w14:textId="050614A4" w:rsidR="00E30A31" w:rsidRPr="002D2FE7" w:rsidRDefault="00E30A31" w:rsidP="00E30A31">
      <w:pPr>
        <w:widowControl w:val="0"/>
        <w:tabs>
          <w:tab w:val="left" w:pos="567"/>
        </w:tabs>
        <w:rPr>
          <w:noProof/>
          <w:szCs w:val="22"/>
          <w:shd w:val="clear" w:color="auto" w:fill="BFBFBF" w:themeFill="background1" w:themeFillShade="BF"/>
        </w:rPr>
      </w:pPr>
      <w:r w:rsidRPr="002D2FE7">
        <w:rPr>
          <w:noProof/>
          <w:szCs w:val="22"/>
          <w:shd w:val="clear" w:color="auto" w:fill="BFBFBF" w:themeFill="background1" w:themeFillShade="BF"/>
        </w:rPr>
        <w:t>Sublifen 400</w:t>
      </w:r>
      <w:r w:rsidR="005C39E4" w:rsidRPr="00902419">
        <w:rPr>
          <w:noProof/>
          <w:szCs w:val="22"/>
          <w:shd w:val="clear" w:color="auto" w:fill="BFBFBF" w:themeFill="background1" w:themeFillShade="BF"/>
        </w:rPr>
        <w:t> </w:t>
      </w:r>
      <w:r w:rsidRPr="002D2FE7">
        <w:rPr>
          <w:noProof/>
          <w:szCs w:val="22"/>
          <w:shd w:val="clear" w:color="auto" w:fill="BFBFBF" w:themeFill="background1" w:themeFillShade="BF"/>
        </w:rPr>
        <w:t xml:space="preserve">microgrammi compresse sublinguali </w:t>
      </w:r>
    </w:p>
    <w:p w14:paraId="1F6423C8" w14:textId="77777777" w:rsidR="008B50A5" w:rsidRPr="009A79CA" w:rsidRDefault="008B50A5" w:rsidP="00AD4B58">
      <w:pPr>
        <w:suppressAutoHyphens/>
      </w:pPr>
    </w:p>
    <w:p w14:paraId="41A20592" w14:textId="77777777" w:rsidR="00C75B69" w:rsidRPr="009A79CA" w:rsidRDefault="00C75B69" w:rsidP="00AD4B58">
      <w:pPr>
        <w:suppressAutoHyphens/>
      </w:pPr>
    </w:p>
    <w:p w14:paraId="7FBC9072" w14:textId="77777777" w:rsidR="00C75B69" w:rsidRPr="009A79CA" w:rsidRDefault="00B46DB0" w:rsidP="00AD4B58">
      <w:pPr>
        <w:suppressAutoHyphens/>
        <w:ind w:left="567" w:hanging="567"/>
      </w:pPr>
      <w:r w:rsidRPr="009A79CA">
        <w:rPr>
          <w:b/>
        </w:rPr>
        <w:t>2.</w:t>
      </w:r>
      <w:r w:rsidRPr="009A79CA">
        <w:rPr>
          <w:b/>
        </w:rPr>
        <w:tab/>
        <w:t>COMPOSIZIONE QUALITATIVA E QUANTITATIVA</w:t>
      </w:r>
    </w:p>
    <w:p w14:paraId="7FFE6085" w14:textId="77777777" w:rsidR="00C75B69" w:rsidRPr="009A79CA" w:rsidRDefault="00C75B69" w:rsidP="00AD4B58">
      <w:pPr>
        <w:suppressAutoHyphens/>
      </w:pPr>
    </w:p>
    <w:p w14:paraId="5CC9B8F0" w14:textId="6BDD85CD" w:rsidR="00E30A31" w:rsidRPr="009A79CA" w:rsidRDefault="003802DB" w:rsidP="00AD4B58">
      <w:pPr>
        <w:suppressAutoHyphens/>
        <w:rPr>
          <w:bCs/>
          <w:noProof/>
        </w:rPr>
      </w:pPr>
      <w:r>
        <w:rPr>
          <w:bCs/>
          <w:noProof/>
        </w:rPr>
        <w:t>Ogni</w:t>
      </w:r>
      <w:r w:rsidRPr="009A79CA">
        <w:rPr>
          <w:bCs/>
          <w:noProof/>
        </w:rPr>
        <w:t xml:space="preserve"> </w:t>
      </w:r>
      <w:r w:rsidR="00E30A31" w:rsidRPr="009A79CA">
        <w:rPr>
          <w:bCs/>
          <w:noProof/>
        </w:rPr>
        <w:t>co</w:t>
      </w:r>
      <w:r>
        <w:rPr>
          <w:bCs/>
          <w:noProof/>
        </w:rPr>
        <w:t>m</w:t>
      </w:r>
      <w:r w:rsidR="00E30A31" w:rsidRPr="009A79CA">
        <w:rPr>
          <w:bCs/>
          <w:noProof/>
        </w:rPr>
        <w:t>pressa sublinguale contiene:</w:t>
      </w:r>
    </w:p>
    <w:p w14:paraId="41C8BB4F" w14:textId="77777777" w:rsidR="00E30A31" w:rsidRPr="009A79CA" w:rsidRDefault="00E30A31" w:rsidP="00AD4B58">
      <w:pPr>
        <w:suppressAutoHyphens/>
        <w:rPr>
          <w:bCs/>
          <w:noProof/>
        </w:rPr>
      </w:pPr>
    </w:p>
    <w:p w14:paraId="4CC6A3A9" w14:textId="24DA689A" w:rsidR="00E30A31" w:rsidRPr="009A79CA" w:rsidRDefault="008B0270" w:rsidP="00AD4B58">
      <w:pPr>
        <w:suppressAutoHyphens/>
        <w:rPr>
          <w:bCs/>
          <w:noProof/>
        </w:rPr>
      </w:pPr>
      <w:r>
        <w:rPr>
          <w:bCs/>
          <w:noProof/>
        </w:rPr>
        <w:t>157 microgrammi di f</w:t>
      </w:r>
      <w:r w:rsidR="00E30A31" w:rsidRPr="009A79CA">
        <w:rPr>
          <w:bCs/>
          <w:noProof/>
        </w:rPr>
        <w:t xml:space="preserve">entanil citrato equivalente a </w:t>
      </w:r>
      <w:r w:rsidR="00E30A31" w:rsidRPr="009A79CA">
        <w:t>100</w:t>
      </w:r>
      <w:r w:rsidR="005C39E4" w:rsidRPr="00902419">
        <w:rPr>
          <w:noProof/>
        </w:rPr>
        <w:t> </w:t>
      </w:r>
      <w:r w:rsidR="00E30A31" w:rsidRPr="009A79CA">
        <w:t xml:space="preserve">microgrammi di </w:t>
      </w:r>
      <w:proofErr w:type="spellStart"/>
      <w:r w:rsidR="00E30A31" w:rsidRPr="009A79CA">
        <w:t>fentanil</w:t>
      </w:r>
      <w:proofErr w:type="spellEnd"/>
    </w:p>
    <w:p w14:paraId="7B815BB0" w14:textId="69EB9E2E" w:rsidR="00E30A31" w:rsidRPr="002D2FE7" w:rsidRDefault="008B0270" w:rsidP="00E30A31">
      <w:pPr>
        <w:suppressAutoHyphens/>
        <w:rPr>
          <w:noProof/>
          <w:szCs w:val="22"/>
          <w:shd w:val="clear" w:color="auto" w:fill="F2F2F2" w:themeFill="background1" w:themeFillShade="F2"/>
        </w:rPr>
      </w:pPr>
      <w:r>
        <w:rPr>
          <w:noProof/>
          <w:szCs w:val="22"/>
          <w:shd w:val="clear" w:color="auto" w:fill="F2F2F2" w:themeFill="background1" w:themeFillShade="F2"/>
        </w:rPr>
        <w:t>314 microgrammi di f</w:t>
      </w:r>
      <w:r w:rsidR="00E30A31" w:rsidRPr="002D2FE7">
        <w:rPr>
          <w:noProof/>
          <w:szCs w:val="22"/>
          <w:shd w:val="clear" w:color="auto" w:fill="F2F2F2" w:themeFill="background1" w:themeFillShade="F2"/>
        </w:rPr>
        <w:t>entanil citrato equivalente a 200</w:t>
      </w:r>
      <w:r w:rsidR="005C39E4" w:rsidRPr="00902419">
        <w:rPr>
          <w:noProof/>
          <w:szCs w:val="22"/>
          <w:shd w:val="clear" w:color="auto" w:fill="F2F2F2" w:themeFill="background1" w:themeFillShade="F2"/>
        </w:rPr>
        <w:t> </w:t>
      </w:r>
      <w:r w:rsidR="00E30A31" w:rsidRPr="002D2FE7">
        <w:rPr>
          <w:noProof/>
          <w:szCs w:val="22"/>
          <w:shd w:val="clear" w:color="auto" w:fill="F2F2F2" w:themeFill="background1" w:themeFillShade="F2"/>
        </w:rPr>
        <w:t>microgrammi di fentanil</w:t>
      </w:r>
    </w:p>
    <w:p w14:paraId="2CA77237" w14:textId="0F203A6F" w:rsidR="00E30A31" w:rsidRPr="002D2FE7" w:rsidRDefault="008B0270" w:rsidP="00E30A31">
      <w:pPr>
        <w:suppressAutoHyphens/>
        <w:rPr>
          <w:noProof/>
          <w:szCs w:val="22"/>
          <w:shd w:val="clear" w:color="auto" w:fill="D9D9D9" w:themeFill="background1" w:themeFillShade="D9"/>
        </w:rPr>
      </w:pPr>
      <w:r>
        <w:rPr>
          <w:noProof/>
          <w:szCs w:val="22"/>
          <w:shd w:val="clear" w:color="auto" w:fill="D9D9D9" w:themeFill="background1" w:themeFillShade="D9"/>
        </w:rPr>
        <w:t>471 microgrammi di f</w:t>
      </w:r>
      <w:r w:rsidR="00E30A31" w:rsidRPr="002D2FE7">
        <w:rPr>
          <w:noProof/>
          <w:szCs w:val="22"/>
          <w:shd w:val="clear" w:color="auto" w:fill="D9D9D9" w:themeFill="background1" w:themeFillShade="D9"/>
        </w:rPr>
        <w:t>entanil citrato equivalente a 300</w:t>
      </w:r>
      <w:r w:rsidR="005C39E4" w:rsidRPr="00902419">
        <w:rPr>
          <w:noProof/>
          <w:szCs w:val="22"/>
          <w:shd w:val="clear" w:color="auto" w:fill="D9D9D9" w:themeFill="background1" w:themeFillShade="D9"/>
        </w:rPr>
        <w:t> </w:t>
      </w:r>
      <w:r w:rsidR="00E30A31" w:rsidRPr="002D2FE7">
        <w:rPr>
          <w:noProof/>
          <w:szCs w:val="22"/>
          <w:shd w:val="clear" w:color="auto" w:fill="D9D9D9" w:themeFill="background1" w:themeFillShade="D9"/>
        </w:rPr>
        <w:t>microgrammi di fentanil</w:t>
      </w:r>
    </w:p>
    <w:p w14:paraId="2ED56473" w14:textId="626E6121" w:rsidR="00E30A31" w:rsidRPr="002D2FE7" w:rsidRDefault="008B0270" w:rsidP="00E30A31">
      <w:pPr>
        <w:suppressAutoHyphens/>
        <w:rPr>
          <w:noProof/>
          <w:szCs w:val="22"/>
          <w:shd w:val="clear" w:color="auto" w:fill="BFBFBF" w:themeFill="background1" w:themeFillShade="BF"/>
        </w:rPr>
      </w:pPr>
      <w:r>
        <w:rPr>
          <w:noProof/>
          <w:szCs w:val="22"/>
          <w:shd w:val="clear" w:color="auto" w:fill="BFBFBF" w:themeFill="background1" w:themeFillShade="BF"/>
        </w:rPr>
        <w:t>628 microgrammi di f</w:t>
      </w:r>
      <w:r w:rsidR="00E30A31" w:rsidRPr="002D2FE7">
        <w:rPr>
          <w:noProof/>
          <w:szCs w:val="22"/>
          <w:shd w:val="clear" w:color="auto" w:fill="BFBFBF" w:themeFill="background1" w:themeFillShade="BF"/>
        </w:rPr>
        <w:t>entanil citrato equivalente a 400</w:t>
      </w:r>
      <w:r w:rsidR="005C39E4" w:rsidRPr="00902419">
        <w:rPr>
          <w:noProof/>
          <w:szCs w:val="22"/>
          <w:shd w:val="clear" w:color="auto" w:fill="BFBFBF" w:themeFill="background1" w:themeFillShade="BF"/>
        </w:rPr>
        <w:t> </w:t>
      </w:r>
      <w:r w:rsidR="00E30A31" w:rsidRPr="002D2FE7">
        <w:rPr>
          <w:noProof/>
          <w:szCs w:val="22"/>
          <w:shd w:val="clear" w:color="auto" w:fill="BFBFBF" w:themeFill="background1" w:themeFillShade="BF"/>
        </w:rPr>
        <w:t>microgrammi di fentanil</w:t>
      </w:r>
    </w:p>
    <w:p w14:paraId="4B7B59A8" w14:textId="77777777" w:rsidR="00E30A31" w:rsidRPr="009A79CA" w:rsidRDefault="00E30A31" w:rsidP="00AD4B58">
      <w:pPr>
        <w:suppressAutoHyphens/>
        <w:rPr>
          <w:bCs/>
          <w:noProof/>
        </w:rPr>
      </w:pPr>
    </w:p>
    <w:p w14:paraId="562B5F9E" w14:textId="77777777" w:rsidR="00C75B69" w:rsidRPr="009A79CA" w:rsidRDefault="0073066D" w:rsidP="00AD4B58">
      <w:pPr>
        <w:suppressAutoHyphens/>
      </w:pPr>
      <w:r w:rsidRPr="009A79CA">
        <w:t xml:space="preserve">Per </w:t>
      </w:r>
      <w:r w:rsidRPr="009A79CA">
        <w:rPr>
          <w:noProof/>
        </w:rPr>
        <w:t>l</w:t>
      </w:r>
      <w:r w:rsidR="00393B71">
        <w:rPr>
          <w:noProof/>
        </w:rPr>
        <w:t>’</w:t>
      </w:r>
      <w:r w:rsidRPr="009A79CA">
        <w:rPr>
          <w:noProof/>
        </w:rPr>
        <w:t xml:space="preserve">elenco completo degli </w:t>
      </w:r>
      <w:r w:rsidRPr="009A79CA">
        <w:t>eccipienti, vedere paragrafo 6.1.</w:t>
      </w:r>
    </w:p>
    <w:p w14:paraId="59000537" w14:textId="77777777" w:rsidR="00C75B69" w:rsidRPr="009A79CA" w:rsidRDefault="00C75B69" w:rsidP="00AD4B58">
      <w:pPr>
        <w:suppressAutoHyphens/>
      </w:pPr>
    </w:p>
    <w:p w14:paraId="70D5007F" w14:textId="77777777" w:rsidR="00C75B69" w:rsidRPr="009A79CA" w:rsidRDefault="00C75B69" w:rsidP="00AD4B58">
      <w:pPr>
        <w:suppressAutoHyphens/>
      </w:pPr>
    </w:p>
    <w:p w14:paraId="3680E918" w14:textId="77777777" w:rsidR="00C75B69" w:rsidRPr="009A79CA" w:rsidRDefault="00B46DB0" w:rsidP="00AD4B58">
      <w:pPr>
        <w:suppressAutoHyphens/>
        <w:ind w:left="567" w:hanging="567"/>
      </w:pPr>
      <w:r w:rsidRPr="009A79CA">
        <w:rPr>
          <w:b/>
        </w:rPr>
        <w:t>3.</w:t>
      </w:r>
      <w:r w:rsidRPr="009A79CA">
        <w:rPr>
          <w:b/>
        </w:rPr>
        <w:tab/>
        <w:t>FORMA FARMACEUTICA</w:t>
      </w:r>
    </w:p>
    <w:p w14:paraId="0A7B195C" w14:textId="77777777" w:rsidR="00C75B69" w:rsidRPr="009A79CA" w:rsidRDefault="00C75B69" w:rsidP="00AD4B58"/>
    <w:p w14:paraId="2F889785" w14:textId="77777777" w:rsidR="00932C11" w:rsidRPr="009A79CA" w:rsidRDefault="00932C11" w:rsidP="00AD4B58">
      <w:pPr>
        <w:suppressAutoHyphens/>
        <w:rPr>
          <w:noProof/>
        </w:rPr>
      </w:pPr>
      <w:r w:rsidRPr="009A79CA">
        <w:rPr>
          <w:noProof/>
        </w:rPr>
        <w:t>Compressa sublinguale</w:t>
      </w:r>
    </w:p>
    <w:p w14:paraId="26298C87" w14:textId="77777777" w:rsidR="00932C11" w:rsidRPr="009A79CA" w:rsidRDefault="00932C11" w:rsidP="00AD4B58">
      <w:pPr>
        <w:suppressAutoHyphens/>
        <w:rPr>
          <w:noProof/>
        </w:rPr>
      </w:pPr>
    </w:p>
    <w:p w14:paraId="2300EE43" w14:textId="0E255F74" w:rsidR="00932C11" w:rsidRPr="009A79CA" w:rsidRDefault="00932C11" w:rsidP="00932C11">
      <w:pPr>
        <w:suppressAutoHyphens/>
        <w:rPr>
          <w:noProof/>
        </w:rPr>
      </w:pPr>
      <w:r w:rsidRPr="009A79CA">
        <w:rPr>
          <w:noProof/>
        </w:rPr>
        <w:t>La compressa sublinguale da 100</w:t>
      </w:r>
      <w:r w:rsidR="005C39E4" w:rsidRPr="00D0367B">
        <w:rPr>
          <w:noProof/>
        </w:rPr>
        <w:t> </w:t>
      </w:r>
      <w:r w:rsidRPr="009A79CA">
        <w:rPr>
          <w:noProof/>
        </w:rPr>
        <w:t>microgrammi è una compressa rotonda, di colore bianco</w:t>
      </w:r>
      <w:r w:rsidR="00B40F33">
        <w:rPr>
          <w:noProof/>
        </w:rPr>
        <w:t>,</w:t>
      </w:r>
      <w:r w:rsidRPr="009A79CA">
        <w:rPr>
          <w:noProof/>
        </w:rPr>
        <w:t xml:space="preserve"> </w:t>
      </w:r>
      <w:r w:rsidR="00C61912">
        <w:rPr>
          <w:noProof/>
        </w:rPr>
        <w:t>di</w:t>
      </w:r>
      <w:r w:rsidRPr="009A79CA">
        <w:rPr>
          <w:noProof/>
        </w:rPr>
        <w:t xml:space="preserve"> 6</w:t>
      </w:r>
      <w:r w:rsidR="005C39E4">
        <w:rPr>
          <w:noProof/>
        </w:rPr>
        <w:t> </w:t>
      </w:r>
      <w:r w:rsidRPr="009A79CA">
        <w:rPr>
          <w:noProof/>
        </w:rPr>
        <w:t>mm.</w:t>
      </w:r>
    </w:p>
    <w:p w14:paraId="75C1444C" w14:textId="7F405BDA" w:rsidR="00932C11" w:rsidRPr="009A79CA" w:rsidRDefault="00932C11" w:rsidP="00932C11">
      <w:pPr>
        <w:suppressAutoHyphens/>
        <w:rPr>
          <w:noProof/>
          <w:szCs w:val="22"/>
          <w:shd w:val="clear" w:color="auto" w:fill="F2F2F2" w:themeFill="background1" w:themeFillShade="F2"/>
        </w:rPr>
      </w:pPr>
      <w:r w:rsidRPr="009A79CA">
        <w:rPr>
          <w:noProof/>
          <w:szCs w:val="22"/>
          <w:shd w:val="clear" w:color="auto" w:fill="F2F2F2" w:themeFill="background1" w:themeFillShade="F2"/>
        </w:rPr>
        <w:t>La compressa sublinguale da 200</w:t>
      </w:r>
      <w:r w:rsidR="005C39E4" w:rsidRPr="00D0367B">
        <w:rPr>
          <w:noProof/>
          <w:szCs w:val="22"/>
          <w:shd w:val="clear" w:color="auto" w:fill="F2F2F2" w:themeFill="background1" w:themeFillShade="F2"/>
        </w:rPr>
        <w:t> </w:t>
      </w:r>
      <w:r w:rsidRPr="009A79CA">
        <w:rPr>
          <w:noProof/>
          <w:szCs w:val="22"/>
          <w:shd w:val="clear" w:color="auto" w:fill="F2F2F2" w:themeFill="background1" w:themeFillShade="F2"/>
        </w:rPr>
        <w:t>microgrammi è una compressa di forma ovale, di colore bianco</w:t>
      </w:r>
      <w:r w:rsidR="00B40F33">
        <w:rPr>
          <w:noProof/>
          <w:szCs w:val="22"/>
          <w:shd w:val="clear" w:color="auto" w:fill="F2F2F2" w:themeFill="background1" w:themeFillShade="F2"/>
        </w:rPr>
        <w:t>,</w:t>
      </w:r>
      <w:r w:rsidRPr="009A79CA">
        <w:rPr>
          <w:noProof/>
          <w:szCs w:val="22"/>
          <w:shd w:val="clear" w:color="auto" w:fill="F2F2F2" w:themeFill="background1" w:themeFillShade="F2"/>
        </w:rPr>
        <w:t xml:space="preserve"> </w:t>
      </w:r>
      <w:r w:rsidR="00C61912">
        <w:rPr>
          <w:noProof/>
          <w:szCs w:val="22"/>
          <w:shd w:val="clear" w:color="auto" w:fill="F2F2F2" w:themeFill="background1" w:themeFillShade="F2"/>
        </w:rPr>
        <w:t>di</w:t>
      </w:r>
      <w:r w:rsidRPr="009A79CA">
        <w:rPr>
          <w:noProof/>
          <w:szCs w:val="22"/>
          <w:shd w:val="clear" w:color="auto" w:fill="F2F2F2" w:themeFill="background1" w:themeFillShade="F2"/>
        </w:rPr>
        <w:t xml:space="preserve"> 7x5</w:t>
      </w:r>
      <w:r w:rsidR="005C39E4">
        <w:rPr>
          <w:noProof/>
        </w:rPr>
        <w:t> </w:t>
      </w:r>
      <w:r w:rsidRPr="009A79CA">
        <w:rPr>
          <w:noProof/>
          <w:szCs w:val="22"/>
          <w:shd w:val="clear" w:color="auto" w:fill="F2F2F2" w:themeFill="background1" w:themeFillShade="F2"/>
        </w:rPr>
        <w:t>mm</w:t>
      </w:r>
    </w:p>
    <w:p w14:paraId="12660E26" w14:textId="13950F30" w:rsidR="00932C11" w:rsidRPr="009A79CA" w:rsidRDefault="00932C11" w:rsidP="00932C11">
      <w:pPr>
        <w:suppressAutoHyphens/>
        <w:rPr>
          <w:noProof/>
          <w:szCs w:val="22"/>
          <w:shd w:val="clear" w:color="auto" w:fill="D9D9D9" w:themeFill="background1" w:themeFillShade="D9"/>
        </w:rPr>
      </w:pPr>
      <w:r w:rsidRPr="009A79CA">
        <w:rPr>
          <w:noProof/>
          <w:szCs w:val="22"/>
          <w:shd w:val="clear" w:color="auto" w:fill="D9D9D9" w:themeFill="background1" w:themeFillShade="D9"/>
        </w:rPr>
        <w:t>La compressa sublinguale da 300</w:t>
      </w:r>
      <w:r w:rsidR="005C39E4" w:rsidRPr="00D0367B">
        <w:rPr>
          <w:noProof/>
          <w:szCs w:val="22"/>
          <w:shd w:val="clear" w:color="auto" w:fill="D9D9D9" w:themeFill="background1" w:themeFillShade="D9"/>
        </w:rPr>
        <w:t> </w:t>
      </w:r>
      <w:r w:rsidRPr="009A79CA">
        <w:rPr>
          <w:noProof/>
          <w:szCs w:val="22"/>
          <w:shd w:val="clear" w:color="auto" w:fill="D9D9D9" w:themeFill="background1" w:themeFillShade="D9"/>
        </w:rPr>
        <w:t xml:space="preserve">microgrammi è </w:t>
      </w:r>
      <w:r w:rsidR="0070141C" w:rsidRPr="009A79CA">
        <w:rPr>
          <w:noProof/>
          <w:szCs w:val="22"/>
          <w:shd w:val="clear" w:color="auto" w:fill="D9D9D9" w:themeFill="background1" w:themeFillShade="D9"/>
        </w:rPr>
        <w:t xml:space="preserve">una compressa </w:t>
      </w:r>
      <w:r w:rsidRPr="009A79CA">
        <w:rPr>
          <w:noProof/>
          <w:szCs w:val="22"/>
          <w:shd w:val="clear" w:color="auto" w:fill="D9D9D9" w:themeFill="background1" w:themeFillShade="D9"/>
        </w:rPr>
        <w:t>di forma triangolare, di colore bianco</w:t>
      </w:r>
      <w:r w:rsidR="00B40F33">
        <w:rPr>
          <w:noProof/>
          <w:szCs w:val="22"/>
          <w:shd w:val="clear" w:color="auto" w:fill="D9D9D9" w:themeFill="background1" w:themeFillShade="D9"/>
        </w:rPr>
        <w:t>,</w:t>
      </w:r>
      <w:r w:rsidRPr="009A79CA">
        <w:rPr>
          <w:noProof/>
          <w:szCs w:val="22"/>
          <w:shd w:val="clear" w:color="auto" w:fill="D9D9D9" w:themeFill="background1" w:themeFillShade="D9"/>
        </w:rPr>
        <w:t xml:space="preserve"> di 6x6</w:t>
      </w:r>
      <w:r w:rsidR="005C39E4" w:rsidRPr="00902419">
        <w:rPr>
          <w:noProof/>
          <w:szCs w:val="22"/>
          <w:shd w:val="clear" w:color="auto" w:fill="D9D9D9" w:themeFill="background1" w:themeFillShade="D9"/>
        </w:rPr>
        <w:t> </w:t>
      </w:r>
      <w:r w:rsidRPr="009A79CA">
        <w:rPr>
          <w:noProof/>
          <w:szCs w:val="22"/>
          <w:shd w:val="clear" w:color="auto" w:fill="D9D9D9" w:themeFill="background1" w:themeFillShade="D9"/>
        </w:rPr>
        <w:t>mm.</w:t>
      </w:r>
    </w:p>
    <w:p w14:paraId="70398911" w14:textId="02889BBE" w:rsidR="00932C11" w:rsidRPr="009A79CA" w:rsidRDefault="00932C11" w:rsidP="00932C11">
      <w:pPr>
        <w:suppressAutoHyphens/>
        <w:rPr>
          <w:noProof/>
          <w:szCs w:val="22"/>
          <w:shd w:val="clear" w:color="auto" w:fill="BFBFBF" w:themeFill="background1" w:themeFillShade="BF"/>
        </w:rPr>
      </w:pPr>
      <w:r w:rsidRPr="009A79CA">
        <w:rPr>
          <w:noProof/>
          <w:szCs w:val="22"/>
          <w:shd w:val="clear" w:color="auto" w:fill="BFBFBF" w:themeFill="background1" w:themeFillShade="BF"/>
        </w:rPr>
        <w:t>La compressa sublinguale da 400</w:t>
      </w:r>
      <w:r w:rsidR="005C39E4" w:rsidRPr="00D0367B">
        <w:rPr>
          <w:noProof/>
          <w:szCs w:val="22"/>
          <w:shd w:val="clear" w:color="auto" w:fill="BFBFBF" w:themeFill="background1" w:themeFillShade="BF"/>
        </w:rPr>
        <w:t> </w:t>
      </w:r>
      <w:r w:rsidRPr="009A79CA">
        <w:rPr>
          <w:noProof/>
          <w:szCs w:val="22"/>
          <w:shd w:val="clear" w:color="auto" w:fill="BFBFBF" w:themeFill="background1" w:themeFillShade="BF"/>
        </w:rPr>
        <w:t xml:space="preserve">microgrammi è </w:t>
      </w:r>
      <w:r w:rsidR="0070141C" w:rsidRPr="009A79CA">
        <w:rPr>
          <w:noProof/>
          <w:szCs w:val="22"/>
          <w:shd w:val="clear" w:color="auto" w:fill="BFBFBF" w:themeFill="background1" w:themeFillShade="BF"/>
        </w:rPr>
        <w:t xml:space="preserve">una compressa </w:t>
      </w:r>
      <w:r w:rsidRPr="009A79CA">
        <w:rPr>
          <w:noProof/>
          <w:szCs w:val="22"/>
          <w:shd w:val="clear" w:color="auto" w:fill="BFBFBF" w:themeFill="background1" w:themeFillShade="BF"/>
        </w:rPr>
        <w:t>di forma romboidale, di colore bianco</w:t>
      </w:r>
      <w:r w:rsidR="00B40F33">
        <w:rPr>
          <w:noProof/>
          <w:szCs w:val="22"/>
          <w:shd w:val="clear" w:color="auto" w:fill="BFBFBF" w:themeFill="background1" w:themeFillShade="BF"/>
        </w:rPr>
        <w:t>,</w:t>
      </w:r>
      <w:r w:rsidRPr="009A79CA">
        <w:rPr>
          <w:noProof/>
          <w:szCs w:val="22"/>
          <w:shd w:val="clear" w:color="auto" w:fill="BFBFBF" w:themeFill="background1" w:themeFillShade="BF"/>
        </w:rPr>
        <w:t xml:space="preserve"> di 9x7</w:t>
      </w:r>
      <w:r w:rsidR="005C39E4" w:rsidRPr="00D0367B">
        <w:rPr>
          <w:noProof/>
          <w:szCs w:val="22"/>
          <w:shd w:val="clear" w:color="auto" w:fill="BFBFBF" w:themeFill="background1" w:themeFillShade="BF"/>
        </w:rPr>
        <w:t> </w:t>
      </w:r>
      <w:r w:rsidRPr="009A79CA">
        <w:rPr>
          <w:noProof/>
          <w:szCs w:val="22"/>
          <w:shd w:val="clear" w:color="auto" w:fill="BFBFBF" w:themeFill="background1" w:themeFillShade="BF"/>
        </w:rPr>
        <w:t>mm.</w:t>
      </w:r>
    </w:p>
    <w:p w14:paraId="6A4C3308" w14:textId="77777777" w:rsidR="00C75B69" w:rsidRPr="009A79CA" w:rsidRDefault="00C75B69" w:rsidP="00AD4B58">
      <w:pPr>
        <w:suppressAutoHyphens/>
        <w:rPr>
          <w:noProof/>
        </w:rPr>
      </w:pPr>
    </w:p>
    <w:p w14:paraId="084E9C71" w14:textId="77777777" w:rsidR="00932C11" w:rsidRPr="009A79CA" w:rsidRDefault="00932C11" w:rsidP="00AD4B58">
      <w:pPr>
        <w:suppressAutoHyphens/>
      </w:pPr>
    </w:p>
    <w:p w14:paraId="4AD4490E" w14:textId="77777777" w:rsidR="00C75B69" w:rsidRPr="009A79CA" w:rsidRDefault="00B46DB0" w:rsidP="00AD4B58">
      <w:pPr>
        <w:suppressAutoHyphens/>
        <w:ind w:left="567" w:hanging="567"/>
      </w:pPr>
      <w:r w:rsidRPr="009A79CA">
        <w:rPr>
          <w:b/>
        </w:rPr>
        <w:t>4.</w:t>
      </w:r>
      <w:r w:rsidRPr="009A79CA">
        <w:rPr>
          <w:b/>
        </w:rPr>
        <w:tab/>
        <w:t>INFORMAZIONI CLINICHE</w:t>
      </w:r>
    </w:p>
    <w:p w14:paraId="4D038C28" w14:textId="77777777" w:rsidR="00C75B69" w:rsidRPr="009A79CA" w:rsidRDefault="00C75B69" w:rsidP="00AD4B58">
      <w:pPr>
        <w:suppressAutoHyphens/>
      </w:pPr>
    </w:p>
    <w:p w14:paraId="1C24ADDB" w14:textId="77777777" w:rsidR="00C75B69" w:rsidRPr="009A79CA" w:rsidRDefault="00B46DB0" w:rsidP="00AD4B58">
      <w:pPr>
        <w:suppressAutoHyphens/>
        <w:ind w:left="567" w:hanging="567"/>
      </w:pPr>
      <w:r w:rsidRPr="009A79CA">
        <w:rPr>
          <w:b/>
        </w:rPr>
        <w:t>4.1</w:t>
      </w:r>
      <w:r w:rsidRPr="009A79CA">
        <w:rPr>
          <w:b/>
        </w:rPr>
        <w:tab/>
        <w:t>Indicazioni terapeutiche</w:t>
      </w:r>
    </w:p>
    <w:p w14:paraId="462E5D6F" w14:textId="77777777" w:rsidR="00C75B69" w:rsidRPr="009A79CA" w:rsidRDefault="00C75B69" w:rsidP="00AD4B58">
      <w:pPr>
        <w:suppressAutoHyphens/>
      </w:pPr>
    </w:p>
    <w:p w14:paraId="7BC351F9" w14:textId="77777777" w:rsidR="00C75B69" w:rsidRPr="009A79CA" w:rsidRDefault="005613B7" w:rsidP="005613B7">
      <w:pPr>
        <w:suppressAutoHyphens/>
      </w:pPr>
      <w:r w:rsidRPr="009A79CA">
        <w:t>Gestione del dolore episodico intenso nei pazienti adulti mediante terapia a base di oppiacei per il dolore cronico da cancro. Il dolore episodico intenso è una esacerbazione transitoria del dolore cronico persistente diversamente controllato.</w:t>
      </w:r>
    </w:p>
    <w:p w14:paraId="0F2CB7D1" w14:textId="77777777" w:rsidR="005613B7" w:rsidRPr="009A79CA" w:rsidRDefault="005613B7" w:rsidP="005613B7">
      <w:pPr>
        <w:suppressAutoHyphens/>
      </w:pPr>
    </w:p>
    <w:p w14:paraId="4194983B" w14:textId="77777777" w:rsidR="00C75B69" w:rsidRPr="009A79CA" w:rsidRDefault="00B46DB0" w:rsidP="00AD4B58">
      <w:pPr>
        <w:suppressAutoHyphens/>
        <w:ind w:left="567" w:hanging="567"/>
      </w:pPr>
      <w:r w:rsidRPr="009A79CA">
        <w:rPr>
          <w:b/>
        </w:rPr>
        <w:t>4.2</w:t>
      </w:r>
      <w:r w:rsidRPr="009A79CA">
        <w:rPr>
          <w:b/>
        </w:rPr>
        <w:tab/>
        <w:t>Posologia e modo di somministrazione</w:t>
      </w:r>
    </w:p>
    <w:p w14:paraId="7CA0D7F6" w14:textId="77777777" w:rsidR="00C75B69" w:rsidRPr="009A79CA" w:rsidRDefault="00C75B69" w:rsidP="00AD4B58">
      <w:pPr>
        <w:suppressAutoHyphens/>
      </w:pPr>
    </w:p>
    <w:p w14:paraId="4189F1FA" w14:textId="1E1D9489" w:rsidR="001059E1" w:rsidRPr="009A79CA" w:rsidRDefault="001059E1" w:rsidP="001059E1">
      <w:pPr>
        <w:suppressAutoHyphens/>
        <w:rPr>
          <w:noProof/>
          <w:szCs w:val="22"/>
        </w:rPr>
      </w:pPr>
      <w:r w:rsidRPr="009A79CA">
        <w:rPr>
          <w:noProof/>
          <w:szCs w:val="22"/>
        </w:rPr>
        <w:t>Su</w:t>
      </w:r>
      <w:r w:rsidR="00697675" w:rsidRPr="009A79CA">
        <w:rPr>
          <w:noProof/>
          <w:szCs w:val="22"/>
        </w:rPr>
        <w:t>bl</w:t>
      </w:r>
      <w:r w:rsidRPr="009A79CA">
        <w:rPr>
          <w:noProof/>
          <w:szCs w:val="22"/>
        </w:rPr>
        <w:t>ifen deve essere somministrato esclusivamente a</w:t>
      </w:r>
      <w:r w:rsidR="002D232D">
        <w:rPr>
          <w:noProof/>
          <w:szCs w:val="22"/>
        </w:rPr>
        <w:t>i</w:t>
      </w:r>
      <w:r w:rsidRPr="009A79CA">
        <w:rPr>
          <w:noProof/>
          <w:szCs w:val="22"/>
        </w:rPr>
        <w:t xml:space="preserve"> pazienti considerati tolleranti alla terapia a base di oppiacei per il dolore persistente da cancro. I pazienti si possono considerare tolleranti agli oppiacei se assumono almeno 60</w:t>
      </w:r>
      <w:r w:rsidR="005C39E4" w:rsidRPr="00902419">
        <w:rPr>
          <w:noProof/>
        </w:rPr>
        <w:t> </w:t>
      </w:r>
      <w:r w:rsidRPr="009A79CA">
        <w:rPr>
          <w:noProof/>
          <w:szCs w:val="22"/>
        </w:rPr>
        <w:t>mg di morfina per via orale al giorno, almeno 25</w:t>
      </w:r>
      <w:r w:rsidR="005C39E4" w:rsidRPr="00902419">
        <w:rPr>
          <w:noProof/>
        </w:rPr>
        <w:t> </w:t>
      </w:r>
      <w:r w:rsidRPr="009A79CA">
        <w:rPr>
          <w:noProof/>
          <w:szCs w:val="22"/>
        </w:rPr>
        <w:t xml:space="preserve">microgrammi di fentanil </w:t>
      </w:r>
      <w:r w:rsidR="00697675" w:rsidRPr="009A79CA">
        <w:rPr>
          <w:noProof/>
          <w:szCs w:val="22"/>
        </w:rPr>
        <w:t>transdermico all</w:t>
      </w:r>
      <w:r w:rsidR="00393B71">
        <w:rPr>
          <w:noProof/>
          <w:szCs w:val="22"/>
        </w:rPr>
        <w:t>’</w:t>
      </w:r>
      <w:r w:rsidRPr="009A79CA">
        <w:rPr>
          <w:noProof/>
          <w:szCs w:val="22"/>
        </w:rPr>
        <w:t>ora, almeno 30</w:t>
      </w:r>
      <w:r w:rsidR="005C39E4" w:rsidRPr="00902419">
        <w:rPr>
          <w:noProof/>
        </w:rPr>
        <w:t> </w:t>
      </w:r>
      <w:r w:rsidRPr="009A79CA">
        <w:rPr>
          <w:noProof/>
          <w:szCs w:val="22"/>
        </w:rPr>
        <w:t>mg di ossicodone al giorno, almeno 8</w:t>
      </w:r>
      <w:r w:rsidR="005C39E4" w:rsidRPr="00902419">
        <w:rPr>
          <w:noProof/>
        </w:rPr>
        <w:t> </w:t>
      </w:r>
      <w:r w:rsidRPr="009A79CA">
        <w:rPr>
          <w:noProof/>
          <w:szCs w:val="22"/>
        </w:rPr>
        <w:t>mg di idromorfone al giorno o se hanno assunto una dose equianalgesica di un altro oppiaceo per almeno una settimana.</w:t>
      </w:r>
      <w:r w:rsidR="005C39E4">
        <w:rPr>
          <w:noProof/>
          <w:szCs w:val="22"/>
        </w:rPr>
        <w:t xml:space="preserve"> </w:t>
      </w:r>
      <w:r w:rsidR="000D427A">
        <w:rPr>
          <w:noProof/>
          <w:szCs w:val="22"/>
        </w:rPr>
        <w:t xml:space="preserve"> </w:t>
      </w:r>
    </w:p>
    <w:p w14:paraId="6414D62A" w14:textId="77777777" w:rsidR="001059E1" w:rsidRPr="009A79CA" w:rsidRDefault="001059E1" w:rsidP="00AD4B58">
      <w:pPr>
        <w:suppressAutoHyphens/>
        <w:rPr>
          <w:noProof/>
          <w:szCs w:val="22"/>
          <w:u w:val="single"/>
        </w:rPr>
      </w:pPr>
    </w:p>
    <w:p w14:paraId="0E68FB01" w14:textId="77777777" w:rsidR="009A79CA" w:rsidRPr="009A79CA" w:rsidRDefault="009A79CA" w:rsidP="009A79CA">
      <w:pPr>
        <w:suppressAutoHyphens/>
        <w:rPr>
          <w:noProof/>
          <w:szCs w:val="22"/>
          <w:u w:val="single"/>
        </w:rPr>
      </w:pPr>
      <w:r w:rsidRPr="009A79CA">
        <w:rPr>
          <w:noProof/>
          <w:szCs w:val="22"/>
          <w:u w:val="single"/>
        </w:rPr>
        <w:t>Modo di somministrazione:</w:t>
      </w:r>
    </w:p>
    <w:p w14:paraId="6C71FE7F" w14:textId="77777777" w:rsidR="009A79CA" w:rsidRPr="009A79CA" w:rsidRDefault="009A79CA" w:rsidP="009A79CA">
      <w:pPr>
        <w:suppressAutoHyphens/>
        <w:rPr>
          <w:noProof/>
          <w:szCs w:val="22"/>
        </w:rPr>
      </w:pPr>
      <w:r w:rsidRPr="009A79CA">
        <w:rPr>
          <w:noProof/>
          <w:szCs w:val="22"/>
        </w:rPr>
        <w:t>Le compresse sublinguali di Sublifen si devono somministrare direttamente sotto la lingua, nella parte più profonda. Le compresse sublinguali di Sublifen non si devono ingerire, ma le si deve lasciare dissolvere completamente nella cavità sublinguale, senza masticarle né succhiarle. Informare i pazienti di non mangiare né bere fino a completo dissolvimento della compressa.</w:t>
      </w:r>
    </w:p>
    <w:p w14:paraId="6C3D439F" w14:textId="77777777" w:rsidR="001059E1" w:rsidRPr="009A79CA" w:rsidRDefault="009A79CA" w:rsidP="009A79CA">
      <w:pPr>
        <w:suppressAutoHyphens/>
        <w:rPr>
          <w:noProof/>
          <w:szCs w:val="22"/>
        </w:rPr>
      </w:pPr>
      <w:r w:rsidRPr="009A79CA">
        <w:rPr>
          <w:noProof/>
          <w:szCs w:val="22"/>
        </w:rPr>
        <w:lastRenderedPageBreak/>
        <w:t>Nei pazienti con secchezza delle fauci si può utilizzare acqua per inumidire la mucosa prima di assumere Sublifen.</w:t>
      </w:r>
    </w:p>
    <w:p w14:paraId="055823C6" w14:textId="77777777" w:rsidR="001059E1" w:rsidRPr="009A79CA" w:rsidRDefault="001059E1" w:rsidP="00AD4B58">
      <w:pPr>
        <w:suppressAutoHyphens/>
        <w:rPr>
          <w:noProof/>
          <w:szCs w:val="22"/>
          <w:u w:val="single"/>
        </w:rPr>
      </w:pPr>
    </w:p>
    <w:p w14:paraId="216123E5" w14:textId="77777777" w:rsidR="009A79CA" w:rsidRPr="009A79CA" w:rsidRDefault="009A79CA" w:rsidP="009A79CA">
      <w:pPr>
        <w:suppressAutoHyphens/>
        <w:rPr>
          <w:noProof/>
          <w:szCs w:val="22"/>
          <w:u w:val="single"/>
        </w:rPr>
      </w:pPr>
      <w:r w:rsidRPr="009A79CA">
        <w:rPr>
          <w:noProof/>
          <w:szCs w:val="22"/>
          <w:u w:val="single"/>
        </w:rPr>
        <w:t>Titolazione della dose:</w:t>
      </w:r>
    </w:p>
    <w:p w14:paraId="26AACE2D" w14:textId="77777777" w:rsidR="009A79CA" w:rsidRDefault="009A79CA" w:rsidP="009A79CA">
      <w:pPr>
        <w:suppressAutoHyphens/>
        <w:rPr>
          <w:noProof/>
          <w:szCs w:val="22"/>
        </w:rPr>
      </w:pPr>
      <w:r w:rsidRPr="009A79CA">
        <w:rPr>
          <w:noProof/>
          <w:szCs w:val="22"/>
        </w:rPr>
        <w:t>Lo scopo della titolazione della dose è identificare una dose di mantenimento ottimale per il</w:t>
      </w:r>
      <w:r>
        <w:rPr>
          <w:noProof/>
          <w:szCs w:val="22"/>
        </w:rPr>
        <w:t xml:space="preserve"> </w:t>
      </w:r>
      <w:r w:rsidRPr="009A79CA">
        <w:rPr>
          <w:noProof/>
          <w:szCs w:val="22"/>
        </w:rPr>
        <w:t>trattamento continuo di manifestazioni di dolore episodico intenso. Tale dose ottimale deve fornire</w:t>
      </w:r>
      <w:r>
        <w:rPr>
          <w:noProof/>
          <w:szCs w:val="22"/>
        </w:rPr>
        <w:t xml:space="preserve"> </w:t>
      </w:r>
      <w:r w:rsidRPr="009A79CA">
        <w:rPr>
          <w:noProof/>
          <w:szCs w:val="22"/>
        </w:rPr>
        <w:t>analgesia adeguata con un livello accettabile di reazioni indesiderate.</w:t>
      </w:r>
    </w:p>
    <w:p w14:paraId="01B460DB" w14:textId="77777777" w:rsidR="001F0D0E" w:rsidRPr="009A79CA" w:rsidRDefault="001F0D0E" w:rsidP="009A79CA">
      <w:pPr>
        <w:suppressAutoHyphens/>
        <w:rPr>
          <w:noProof/>
          <w:szCs w:val="22"/>
        </w:rPr>
      </w:pPr>
    </w:p>
    <w:p w14:paraId="7FF45020" w14:textId="6FD7FCD8" w:rsidR="009A79CA" w:rsidRDefault="009A79CA" w:rsidP="009A79CA">
      <w:pPr>
        <w:suppressAutoHyphens/>
        <w:rPr>
          <w:noProof/>
          <w:szCs w:val="22"/>
        </w:rPr>
      </w:pPr>
      <w:r w:rsidRPr="009A79CA">
        <w:rPr>
          <w:noProof/>
          <w:szCs w:val="22"/>
        </w:rPr>
        <w:t>La dose ottimale di Sublifen sarà determinata per ogni singolo paziente mediante aumento graduale</w:t>
      </w:r>
      <w:r>
        <w:rPr>
          <w:noProof/>
          <w:szCs w:val="22"/>
        </w:rPr>
        <w:t xml:space="preserve"> </w:t>
      </w:r>
      <w:r w:rsidRPr="009A79CA">
        <w:rPr>
          <w:noProof/>
          <w:szCs w:val="22"/>
        </w:rPr>
        <w:t>della dose. Sono disponibili diversi dosaggi da utilizzare durante la fase di titolazione. La dose iniziale</w:t>
      </w:r>
      <w:r>
        <w:rPr>
          <w:noProof/>
          <w:szCs w:val="22"/>
        </w:rPr>
        <w:t xml:space="preserve"> </w:t>
      </w:r>
      <w:r w:rsidRPr="009A79CA">
        <w:rPr>
          <w:noProof/>
          <w:szCs w:val="22"/>
        </w:rPr>
        <w:t>di Sublifen deve essere pari a 100</w:t>
      </w:r>
      <w:r w:rsidR="000D427A" w:rsidRPr="00902419">
        <w:rPr>
          <w:noProof/>
        </w:rPr>
        <w:t> </w:t>
      </w:r>
      <w:r w:rsidRPr="009A79CA">
        <w:rPr>
          <w:noProof/>
          <w:szCs w:val="22"/>
        </w:rPr>
        <w:t>microgrammi, aumentando la dose secondo necessità nel range dei</w:t>
      </w:r>
      <w:r>
        <w:rPr>
          <w:noProof/>
          <w:szCs w:val="22"/>
        </w:rPr>
        <w:t xml:space="preserve"> </w:t>
      </w:r>
      <w:r w:rsidRPr="009A79CA">
        <w:rPr>
          <w:noProof/>
          <w:szCs w:val="22"/>
        </w:rPr>
        <w:t>dosaggi disponibili.</w:t>
      </w:r>
    </w:p>
    <w:p w14:paraId="5AB2E006" w14:textId="77777777" w:rsidR="001F0D0E" w:rsidRPr="009A79CA" w:rsidRDefault="001F0D0E" w:rsidP="009A79CA">
      <w:pPr>
        <w:suppressAutoHyphens/>
        <w:rPr>
          <w:noProof/>
          <w:szCs w:val="22"/>
        </w:rPr>
      </w:pPr>
    </w:p>
    <w:p w14:paraId="1B493573" w14:textId="77777777" w:rsidR="009A79CA" w:rsidRDefault="009A79CA" w:rsidP="009A79CA">
      <w:pPr>
        <w:suppressAutoHyphens/>
        <w:rPr>
          <w:noProof/>
          <w:szCs w:val="22"/>
        </w:rPr>
      </w:pPr>
      <w:r w:rsidRPr="009A79CA">
        <w:rPr>
          <w:noProof/>
          <w:szCs w:val="22"/>
        </w:rPr>
        <w:t>I pazienti devono essere sottoposti ad attento monitoraggio fino al raggiungimento della dose ottimale.</w:t>
      </w:r>
    </w:p>
    <w:p w14:paraId="62944C80" w14:textId="77777777" w:rsidR="001F0D0E" w:rsidRPr="009A79CA" w:rsidRDefault="001F0D0E" w:rsidP="009A79CA">
      <w:pPr>
        <w:suppressAutoHyphens/>
        <w:rPr>
          <w:noProof/>
          <w:szCs w:val="22"/>
        </w:rPr>
      </w:pPr>
    </w:p>
    <w:p w14:paraId="6E47AE87" w14:textId="77777777" w:rsidR="009A79CA" w:rsidRPr="009A79CA" w:rsidRDefault="009A79CA" w:rsidP="009A79CA">
      <w:pPr>
        <w:suppressAutoHyphens/>
        <w:rPr>
          <w:noProof/>
          <w:szCs w:val="22"/>
        </w:rPr>
      </w:pPr>
      <w:r w:rsidRPr="009A79CA">
        <w:rPr>
          <w:noProof/>
          <w:szCs w:val="22"/>
        </w:rPr>
        <w:t>Il passaggio da altri prodotti contenenti fentanil a Sublifen non deve avvenire secondo un rapporto 1:1,</w:t>
      </w:r>
      <w:r>
        <w:rPr>
          <w:noProof/>
          <w:szCs w:val="22"/>
        </w:rPr>
        <w:t xml:space="preserve"> </w:t>
      </w:r>
      <w:r w:rsidRPr="009A79CA">
        <w:rPr>
          <w:noProof/>
          <w:szCs w:val="22"/>
        </w:rPr>
        <w:t>a causa dei diversi profili di assorbimento. Se i pazienti passano da un altro prodotto contenente</w:t>
      </w:r>
    </w:p>
    <w:p w14:paraId="4EFF5DB0" w14:textId="77777777" w:rsidR="009A79CA" w:rsidRDefault="009A79CA" w:rsidP="009A79CA">
      <w:pPr>
        <w:suppressAutoHyphens/>
        <w:rPr>
          <w:noProof/>
          <w:szCs w:val="22"/>
        </w:rPr>
      </w:pPr>
      <w:r w:rsidRPr="009A79CA">
        <w:rPr>
          <w:noProof/>
          <w:szCs w:val="22"/>
        </w:rPr>
        <w:t>fentanil, è richiesta una nuova titolazione con Sublifen.</w:t>
      </w:r>
    </w:p>
    <w:p w14:paraId="35BA1177" w14:textId="77777777" w:rsidR="001F0D0E" w:rsidRPr="009A79CA" w:rsidRDefault="001F0D0E" w:rsidP="009A79CA">
      <w:pPr>
        <w:suppressAutoHyphens/>
        <w:rPr>
          <w:noProof/>
          <w:szCs w:val="22"/>
        </w:rPr>
      </w:pPr>
    </w:p>
    <w:p w14:paraId="3E3CC49E" w14:textId="77777777" w:rsidR="009A79CA" w:rsidRDefault="009A79CA" w:rsidP="009A79CA">
      <w:pPr>
        <w:suppressAutoHyphens/>
        <w:rPr>
          <w:noProof/>
          <w:szCs w:val="22"/>
        </w:rPr>
      </w:pPr>
      <w:r w:rsidRPr="009A79CA">
        <w:rPr>
          <w:noProof/>
          <w:szCs w:val="22"/>
        </w:rPr>
        <w:t>Per la titolazione è raccomandato il seguente schema terapeutico, sebbene in tutti i casi il medico</w:t>
      </w:r>
      <w:r>
        <w:rPr>
          <w:noProof/>
          <w:szCs w:val="22"/>
        </w:rPr>
        <w:t xml:space="preserve"> </w:t>
      </w:r>
      <w:r w:rsidRPr="009A79CA">
        <w:rPr>
          <w:noProof/>
          <w:szCs w:val="22"/>
        </w:rPr>
        <w:t>debba tener presente le nec</w:t>
      </w:r>
      <w:r w:rsidR="001F0D0E">
        <w:rPr>
          <w:noProof/>
          <w:szCs w:val="22"/>
        </w:rPr>
        <w:t>essità cliniche del paziente, l</w:t>
      </w:r>
      <w:r w:rsidR="00393B71">
        <w:rPr>
          <w:noProof/>
          <w:szCs w:val="22"/>
        </w:rPr>
        <w:t>’</w:t>
      </w:r>
      <w:r w:rsidRPr="009A79CA">
        <w:rPr>
          <w:noProof/>
          <w:szCs w:val="22"/>
        </w:rPr>
        <w:t>età e la malattia concomitante.</w:t>
      </w:r>
    </w:p>
    <w:p w14:paraId="27F33E6D" w14:textId="77777777" w:rsidR="003159C1" w:rsidRPr="00D0367B" w:rsidRDefault="003159C1" w:rsidP="009A79CA">
      <w:pPr>
        <w:suppressAutoHyphens/>
      </w:pPr>
    </w:p>
    <w:p w14:paraId="596D293A" w14:textId="13BDF7A9" w:rsidR="009A79CA" w:rsidRDefault="009A79CA" w:rsidP="009A79CA">
      <w:pPr>
        <w:suppressAutoHyphens/>
        <w:rPr>
          <w:noProof/>
          <w:szCs w:val="22"/>
        </w:rPr>
      </w:pPr>
      <w:r w:rsidRPr="009A79CA">
        <w:rPr>
          <w:noProof/>
          <w:szCs w:val="22"/>
        </w:rPr>
        <w:t>Tutti i pazienti devono iniziare la terapia assumendo una sola compressa sublinguale da 100</w:t>
      </w:r>
      <w:r w:rsidR="00D97C30">
        <w:rPr>
          <w:noProof/>
          <w:szCs w:val="22"/>
        </w:rPr>
        <w:t> </w:t>
      </w:r>
      <w:r w:rsidRPr="009A79CA">
        <w:rPr>
          <w:noProof/>
          <w:szCs w:val="22"/>
        </w:rPr>
        <w:t>microgrammi. Se entro 15</w:t>
      </w:r>
      <w:r w:rsidR="003159C1">
        <w:rPr>
          <w:noProof/>
          <w:szCs w:val="22"/>
        </w:rPr>
        <w:noBreakHyphen/>
      </w:r>
      <w:r w:rsidRPr="009A79CA">
        <w:rPr>
          <w:noProof/>
          <w:szCs w:val="22"/>
        </w:rPr>
        <w:t>30</w:t>
      </w:r>
      <w:r w:rsidR="000D427A" w:rsidRPr="00902419">
        <w:rPr>
          <w:noProof/>
        </w:rPr>
        <w:t> </w:t>
      </w:r>
      <w:r w:rsidRPr="009A79CA">
        <w:rPr>
          <w:noProof/>
          <w:szCs w:val="22"/>
        </w:rPr>
        <w:t>minuti dalla somministrazione di una singola compressa sublinguale non</w:t>
      </w:r>
      <w:r>
        <w:rPr>
          <w:noProof/>
          <w:szCs w:val="22"/>
        </w:rPr>
        <w:t xml:space="preserve"> </w:t>
      </w:r>
      <w:r w:rsidRPr="009A79CA">
        <w:rPr>
          <w:noProof/>
          <w:szCs w:val="22"/>
        </w:rPr>
        <w:t>si ottiene un</w:t>
      </w:r>
      <w:r w:rsidR="00486964">
        <w:rPr>
          <w:noProof/>
          <w:szCs w:val="22"/>
        </w:rPr>
        <w:t>’</w:t>
      </w:r>
      <w:r w:rsidRPr="009A79CA">
        <w:rPr>
          <w:noProof/>
          <w:szCs w:val="22"/>
        </w:rPr>
        <w:t xml:space="preserve"> adeguata analgesia, è possibile somministrare un</w:t>
      </w:r>
      <w:r w:rsidR="00486964">
        <w:rPr>
          <w:noProof/>
          <w:szCs w:val="22"/>
        </w:rPr>
        <w:t>’</w:t>
      </w:r>
      <w:r w:rsidRPr="009A79CA">
        <w:rPr>
          <w:noProof/>
          <w:szCs w:val="22"/>
        </w:rPr>
        <w:t xml:space="preserve"> ulteriore (seconda) compressa</w:t>
      </w:r>
      <w:r>
        <w:rPr>
          <w:noProof/>
          <w:szCs w:val="22"/>
        </w:rPr>
        <w:t xml:space="preserve"> </w:t>
      </w:r>
      <w:r w:rsidRPr="009A79CA">
        <w:rPr>
          <w:noProof/>
          <w:szCs w:val="22"/>
        </w:rPr>
        <w:t>sublinguale da 100</w:t>
      </w:r>
      <w:r w:rsidR="003159C1">
        <w:t> </w:t>
      </w:r>
      <w:r w:rsidRPr="009A79CA">
        <w:rPr>
          <w:noProof/>
          <w:szCs w:val="22"/>
        </w:rPr>
        <w:t>microgrammi. Se entro 15</w:t>
      </w:r>
      <w:r w:rsidR="003159C1">
        <w:rPr>
          <w:noProof/>
          <w:szCs w:val="22"/>
        </w:rPr>
        <w:noBreakHyphen/>
      </w:r>
      <w:r w:rsidRPr="009A79CA">
        <w:rPr>
          <w:noProof/>
          <w:szCs w:val="22"/>
        </w:rPr>
        <w:t>30</w:t>
      </w:r>
      <w:r w:rsidR="000D427A" w:rsidRPr="00902419">
        <w:rPr>
          <w:noProof/>
        </w:rPr>
        <w:t> </w:t>
      </w:r>
      <w:r w:rsidRPr="009A79CA">
        <w:rPr>
          <w:noProof/>
          <w:szCs w:val="22"/>
        </w:rPr>
        <w:t>minuti dalla somministrazione della prima dose non</w:t>
      </w:r>
      <w:r>
        <w:rPr>
          <w:noProof/>
          <w:szCs w:val="22"/>
        </w:rPr>
        <w:t xml:space="preserve"> </w:t>
      </w:r>
      <w:r w:rsidRPr="009A79CA">
        <w:rPr>
          <w:noProof/>
          <w:szCs w:val="22"/>
        </w:rPr>
        <w:t>si ottiene un</w:t>
      </w:r>
      <w:r w:rsidR="00393B71">
        <w:rPr>
          <w:noProof/>
          <w:szCs w:val="22"/>
        </w:rPr>
        <w:t>’</w:t>
      </w:r>
      <w:r w:rsidRPr="009A79CA">
        <w:rPr>
          <w:noProof/>
          <w:szCs w:val="22"/>
        </w:rPr>
        <w:t>adeguata analgesia, per la successiva manifestazione di dolore episodico intenso si deve</w:t>
      </w:r>
      <w:r>
        <w:rPr>
          <w:noProof/>
          <w:szCs w:val="22"/>
        </w:rPr>
        <w:t xml:space="preserve"> </w:t>
      </w:r>
      <w:r w:rsidRPr="009A79CA">
        <w:rPr>
          <w:noProof/>
          <w:szCs w:val="22"/>
        </w:rPr>
        <w:t>valutare l</w:t>
      </w:r>
      <w:r w:rsidR="00393B71">
        <w:rPr>
          <w:noProof/>
          <w:szCs w:val="22"/>
        </w:rPr>
        <w:t>’</w:t>
      </w:r>
      <w:r w:rsidRPr="009A79CA">
        <w:rPr>
          <w:noProof/>
          <w:szCs w:val="22"/>
        </w:rPr>
        <w:t>assunzione di una compressa di dosaggio immediatamente superiore (si veda la figura</w:t>
      </w:r>
      <w:r>
        <w:rPr>
          <w:noProof/>
          <w:szCs w:val="22"/>
        </w:rPr>
        <w:t xml:space="preserve"> </w:t>
      </w:r>
      <w:r w:rsidRPr="009A79CA">
        <w:rPr>
          <w:noProof/>
          <w:szCs w:val="22"/>
        </w:rPr>
        <w:t>seguente).</w:t>
      </w:r>
    </w:p>
    <w:p w14:paraId="4BD3887C" w14:textId="77777777" w:rsidR="001F0D0E" w:rsidRPr="009A79CA" w:rsidRDefault="001F0D0E" w:rsidP="009A79CA">
      <w:pPr>
        <w:suppressAutoHyphens/>
        <w:rPr>
          <w:noProof/>
          <w:szCs w:val="22"/>
        </w:rPr>
      </w:pPr>
    </w:p>
    <w:p w14:paraId="0D27E4E7" w14:textId="24F71E9A" w:rsidR="00F92D32" w:rsidRDefault="009A79CA" w:rsidP="009A79CA">
      <w:pPr>
        <w:suppressAutoHyphens/>
        <w:rPr>
          <w:noProof/>
          <w:szCs w:val="22"/>
        </w:rPr>
      </w:pPr>
      <w:r w:rsidRPr="009A79CA">
        <w:rPr>
          <w:noProof/>
          <w:szCs w:val="22"/>
        </w:rPr>
        <w:t>L</w:t>
      </w:r>
      <w:r w:rsidR="00393B71">
        <w:rPr>
          <w:noProof/>
          <w:szCs w:val="22"/>
        </w:rPr>
        <w:t>’</w:t>
      </w:r>
      <w:r w:rsidRPr="009A79CA">
        <w:rPr>
          <w:noProof/>
          <w:szCs w:val="22"/>
        </w:rPr>
        <w:t>aggiustamento della dose deve proseguire in maniera graduale fino al raggiungimento di un</w:t>
      </w:r>
      <w:r w:rsidR="004A75F8">
        <w:rPr>
          <w:noProof/>
          <w:szCs w:val="22"/>
        </w:rPr>
        <w:t>’</w:t>
      </w:r>
      <w:r>
        <w:rPr>
          <w:noProof/>
          <w:szCs w:val="22"/>
        </w:rPr>
        <w:t xml:space="preserve"> </w:t>
      </w:r>
      <w:r w:rsidRPr="009A79CA">
        <w:rPr>
          <w:noProof/>
          <w:szCs w:val="22"/>
        </w:rPr>
        <w:t>adeguata analgesia con reazioni avverse tollerabili. Il dosaggio relativo alla compressa sublinguale</w:t>
      </w:r>
      <w:r>
        <w:rPr>
          <w:noProof/>
          <w:szCs w:val="22"/>
        </w:rPr>
        <w:t xml:space="preserve"> </w:t>
      </w:r>
      <w:r w:rsidRPr="009A79CA">
        <w:rPr>
          <w:noProof/>
          <w:szCs w:val="22"/>
        </w:rPr>
        <w:t>supplementare (seconda compressa) deve essere portato da 100 a 200</w:t>
      </w:r>
      <w:r w:rsidR="003159C1">
        <w:rPr>
          <w:noProof/>
          <w:szCs w:val="22"/>
        </w:rPr>
        <w:t> </w:t>
      </w:r>
      <w:r w:rsidRPr="009A79CA">
        <w:rPr>
          <w:noProof/>
          <w:szCs w:val="22"/>
        </w:rPr>
        <w:t>microgrammi a dosi di 400</w:t>
      </w:r>
      <w:r w:rsidR="003159C1">
        <w:t> </w:t>
      </w:r>
      <w:r w:rsidRPr="009A79CA">
        <w:rPr>
          <w:noProof/>
          <w:szCs w:val="22"/>
        </w:rPr>
        <w:t>microgrammi e oltre, come illustrato nello schema seguente. Durante questa fase di titolazione, non</w:t>
      </w:r>
      <w:r>
        <w:rPr>
          <w:noProof/>
          <w:szCs w:val="22"/>
        </w:rPr>
        <w:t xml:space="preserve"> </w:t>
      </w:r>
      <w:r w:rsidRPr="009A79CA">
        <w:rPr>
          <w:noProof/>
          <w:szCs w:val="22"/>
        </w:rPr>
        <w:t>somministrare più di due (2) dosi per un singolo episodio di dolore episodico intenso.</w:t>
      </w:r>
    </w:p>
    <w:p w14:paraId="4E851BF4" w14:textId="77777777" w:rsidR="00F92D32" w:rsidRDefault="00F92D32">
      <w:pPr>
        <w:rPr>
          <w:noProof/>
          <w:szCs w:val="22"/>
        </w:rPr>
      </w:pPr>
      <w:r>
        <w:rPr>
          <w:noProof/>
          <w:szCs w:val="22"/>
        </w:rPr>
        <w:br w:type="page"/>
      </w:r>
    </w:p>
    <w:p w14:paraId="638E35A8" w14:textId="77777777" w:rsidR="001059E1" w:rsidRPr="009A79CA" w:rsidRDefault="001059E1" w:rsidP="009A79CA">
      <w:pPr>
        <w:suppressAutoHyphens/>
        <w:rPr>
          <w:noProof/>
          <w:szCs w:val="22"/>
        </w:rPr>
      </w:pPr>
    </w:p>
    <w:p w14:paraId="61AD5BF3" w14:textId="77777777" w:rsidR="001059E1" w:rsidRDefault="001059E1" w:rsidP="00AD4B58">
      <w:pPr>
        <w:suppressAutoHyphens/>
        <w:rPr>
          <w:noProof/>
          <w:szCs w:val="22"/>
          <w:u w:val="single"/>
        </w:rPr>
      </w:pPr>
    </w:p>
    <w:p w14:paraId="52AD6506" w14:textId="77777777" w:rsidR="001059E1" w:rsidRPr="00EF5D9E" w:rsidRDefault="00EF5D9E" w:rsidP="00EF5D9E">
      <w:pPr>
        <w:suppressAutoHyphens/>
        <w:jc w:val="center"/>
        <w:rPr>
          <w:noProof/>
          <w:szCs w:val="22"/>
          <w:u w:val="single"/>
        </w:rPr>
      </w:pPr>
      <w:r w:rsidRPr="00EF5D9E">
        <w:rPr>
          <w:noProof/>
          <w:szCs w:val="22"/>
          <w:u w:val="single"/>
        </w:rPr>
        <w:t>PROCEDURA DI TITOLAZIONE DI SUBLIFEN</w:t>
      </w:r>
    </w:p>
    <w:p w14:paraId="610978A9" w14:textId="77777777" w:rsidR="001059E1" w:rsidRDefault="00F00F4D" w:rsidP="00AD4B58">
      <w:pPr>
        <w:suppressAutoHyphens/>
        <w:rPr>
          <w:noProof/>
          <w:szCs w:val="22"/>
          <w:u w:val="single"/>
        </w:rPr>
      </w:pPr>
      <w:r>
        <w:rPr>
          <w:noProof/>
          <w:szCs w:val="22"/>
          <w:u w:val="single"/>
          <w:lang w:eastAsia="it-IT"/>
        </w:rPr>
        <mc:AlternateContent>
          <mc:Choice Requires="wpg">
            <w:drawing>
              <wp:anchor distT="0" distB="0" distL="114300" distR="114300" simplePos="0" relativeHeight="251684864" behindDoc="0" locked="0" layoutInCell="1" allowOverlap="1" wp14:anchorId="126C6885" wp14:editId="175DD3CF">
                <wp:simplePos x="0" y="0"/>
                <wp:positionH relativeFrom="column">
                  <wp:posOffset>6655</wp:posOffset>
                </wp:positionH>
                <wp:positionV relativeFrom="paragraph">
                  <wp:posOffset>158572</wp:posOffset>
                </wp:positionV>
                <wp:extent cx="5854083" cy="3972154"/>
                <wp:effectExtent l="0" t="0" r="13335" b="28575"/>
                <wp:wrapNone/>
                <wp:docPr id="4" name="Gruppo 4"/>
                <wp:cNvGraphicFramePr/>
                <a:graphic xmlns:a="http://schemas.openxmlformats.org/drawingml/2006/main">
                  <a:graphicData uri="http://schemas.microsoft.com/office/word/2010/wordprocessingGroup">
                    <wpg:wgp>
                      <wpg:cNvGrpSpPr/>
                      <wpg:grpSpPr>
                        <a:xfrm>
                          <a:off x="0" y="0"/>
                          <a:ext cx="5854083" cy="3972154"/>
                          <a:chOff x="0" y="0"/>
                          <a:chExt cx="5854083" cy="3972154"/>
                        </a:xfrm>
                      </wpg:grpSpPr>
                      <wpg:grpSp>
                        <wpg:cNvPr id="15" name="Gruppo 15"/>
                        <wpg:cNvGrpSpPr/>
                        <wpg:grpSpPr>
                          <a:xfrm>
                            <a:off x="244549" y="0"/>
                            <a:ext cx="5267325" cy="1619250"/>
                            <a:chOff x="0" y="0"/>
                            <a:chExt cx="5267325" cy="1619250"/>
                          </a:xfrm>
                        </wpg:grpSpPr>
                        <wpg:grpSp>
                          <wpg:cNvPr id="14" name="Gruppo 14"/>
                          <wpg:cNvGrpSpPr/>
                          <wpg:grpSpPr>
                            <a:xfrm>
                              <a:off x="0" y="0"/>
                              <a:ext cx="5267325" cy="1066800"/>
                              <a:chOff x="0" y="0"/>
                              <a:chExt cx="5267325" cy="1066800"/>
                            </a:xfrm>
                          </wpg:grpSpPr>
                          <wps:wsp>
                            <wps:cNvPr id="5" name="Rettangolo 5"/>
                            <wps:cNvSpPr/>
                            <wps:spPr>
                              <a:xfrm>
                                <a:off x="1428750" y="0"/>
                                <a:ext cx="2352675"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ACA00" w14:textId="77777777" w:rsidR="002860F8" w:rsidRPr="00D0367B" w:rsidRDefault="002860F8" w:rsidP="00EF5D9E">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Dose iniziale</w:t>
                                  </w:r>
                                </w:p>
                                <w:p w14:paraId="05E44CB4" w14:textId="27ED96DC" w:rsidR="002860F8" w:rsidRPr="00D0367B" w:rsidRDefault="002860F8" w:rsidP="00EF5D9E">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100</w:t>
                                  </w:r>
                                  <w:r w:rsidRPr="00C968F8">
                                    <w:rPr>
                                      <w:color w:val="000000" w:themeColor="text1"/>
                                      <w14:textOutline w14:w="9525" w14:cap="rnd" w14:cmpd="sng" w14:algn="ctr">
                                        <w14:noFill/>
                                        <w14:prstDash w14:val="solid"/>
                                        <w14:bevel/>
                                      </w14:textOutline>
                                    </w:rPr>
                                    <w:t> </w:t>
                                  </w:r>
                                  <w:r w:rsidRPr="00D0367B">
                                    <w:rPr>
                                      <w:color w:val="000000" w:themeColor="text1"/>
                                      <w14:textOutline w14:w="9525" w14:cap="rnd" w14:cmpd="sng" w14:algn="ctr">
                                        <w14:noFill/>
                                        <w14:prstDash w14:val="solid"/>
                                        <w14:bevel/>
                                      </w14:textOutline>
                                    </w:rPr>
                                    <w:t>μg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tangolo 7"/>
                            <wps:cNvSpPr/>
                            <wps:spPr>
                              <a:xfrm>
                                <a:off x="0" y="762000"/>
                                <a:ext cx="5267325" cy="304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15515" w14:textId="60C12F17" w:rsidR="002860F8" w:rsidRPr="00D0367B" w:rsidRDefault="002860F8" w:rsidP="00F92D32">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Adeguato sollievo dal dolore entro 15-30</w:t>
                                  </w:r>
                                  <w:r>
                                    <w:rPr>
                                      <w:color w:val="000000" w:themeColor="text1"/>
                                      <w14:textOutline w14:w="9525" w14:cap="rnd" w14:cmpd="sng" w14:algn="ctr">
                                        <w14:noFill/>
                                        <w14:prstDash w14:val="solid"/>
                                        <w14:bevel/>
                                      </w14:textOutline>
                                    </w:rPr>
                                    <w:t> </w:t>
                                  </w:r>
                                  <w:r w:rsidRPr="00D0367B">
                                    <w:rPr>
                                      <w:color w:val="000000" w:themeColor="text1"/>
                                      <w14:textOutline w14:w="9525" w14:cap="rnd" w14:cmpd="sng" w14:algn="ctr">
                                        <w14:noFill/>
                                        <w14:prstDash w14:val="solid"/>
                                        <w14:bevel/>
                                      </w14:textOutline>
                                    </w:rPr>
                                    <w:t>minuti?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Connettore 1 10"/>
                          <wps:cNvCnPr/>
                          <wps:spPr>
                            <a:xfrm>
                              <a:off x="2552700" y="1066800"/>
                              <a:ext cx="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Connettore 1 11"/>
                          <wps:cNvCnPr/>
                          <wps:spPr>
                            <a:xfrm>
                              <a:off x="657225" y="1362075"/>
                              <a:ext cx="37528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Connettore 2 12"/>
                          <wps:cNvCnPr/>
                          <wps:spPr>
                            <a:xfrm>
                              <a:off x="657225" y="1362075"/>
                              <a:ext cx="0" cy="2571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ttore 2 13"/>
                          <wps:cNvCnPr/>
                          <wps:spPr>
                            <a:xfrm>
                              <a:off x="4410075" y="1362075"/>
                              <a:ext cx="0" cy="2571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Rettangolo 16"/>
                        <wps:cNvSpPr/>
                        <wps:spPr>
                          <a:xfrm>
                            <a:off x="531628" y="1626782"/>
                            <a:ext cx="733425"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9F440" w14:textId="77777777" w:rsidR="002860F8" w:rsidRPr="00D0367B" w:rsidRDefault="002860F8" w:rsidP="00F92D32">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Sì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ttangolo 17"/>
                        <wps:cNvSpPr/>
                        <wps:spPr>
                          <a:xfrm>
                            <a:off x="4284921" y="1626782"/>
                            <a:ext cx="733425"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B72FF" w14:textId="77777777" w:rsidR="002860F8" w:rsidRPr="00D0367B" w:rsidRDefault="002860F8" w:rsidP="00F92D32">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uppo 3"/>
                        <wpg:cNvGrpSpPr/>
                        <wpg:grpSpPr>
                          <a:xfrm>
                            <a:off x="0" y="2158410"/>
                            <a:ext cx="5854083" cy="1813744"/>
                            <a:chOff x="0" y="0"/>
                            <a:chExt cx="5854083" cy="1813744"/>
                          </a:xfrm>
                        </wpg:grpSpPr>
                        <wps:wsp>
                          <wps:cNvPr id="21" name="Casella di testo 21"/>
                          <wps:cNvSpPr txBox="1"/>
                          <wps:spPr>
                            <a:xfrm>
                              <a:off x="3508745" y="0"/>
                              <a:ext cx="23241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6C726" w14:textId="77777777" w:rsidR="002860F8" w:rsidRPr="00D0367B" w:rsidRDefault="002860F8" w:rsidP="00A22C03">
                                <w:r w:rsidRPr="00D0367B">
                                  <w:t>Prendere una seconda compressa</w:t>
                                </w:r>
                              </w:p>
                              <w:p w14:paraId="68C2EB9F" w14:textId="77777777" w:rsidR="002860F8" w:rsidRDefault="002860F8" w:rsidP="00A22C03">
                                <w:r>
                                  <w:t>(Vedere la tabella per determinare la concentrazione della seconda compressa)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asella di testo 23"/>
                          <wps:cNvSpPr txBox="1"/>
                          <wps:spPr>
                            <a:xfrm>
                              <a:off x="3529983" y="1052257"/>
                              <a:ext cx="2324100" cy="7614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896AE" w14:textId="77777777" w:rsidR="002860F8" w:rsidRPr="00D0367B" w:rsidRDefault="002860F8" w:rsidP="003908D9">
                                <w:r w:rsidRPr="00D0367B">
                                  <w:t>Aumentare la prima compressa al dosaggio immediatamente superiore nella successiva manifestazione di dolore episodico intenso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Casella di testo 1"/>
                          <wps:cNvSpPr txBox="1"/>
                          <wps:spPr>
                            <a:xfrm>
                              <a:off x="0" y="946297"/>
                              <a:ext cx="1818168" cy="627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9CDED" w14:textId="77777777" w:rsidR="002860F8" w:rsidRPr="00D0367B" w:rsidRDefault="002860F8" w:rsidP="002D2FE7">
                                <w:r w:rsidRPr="00D0367B">
                                  <w:t xml:space="preserve">Usare questa dose nelle seguenti manifestazioni di dolore episodico intenso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26C6885" id="Gruppo 4" o:spid="_x0000_s1026" style="position:absolute;margin-left:.5pt;margin-top:12.5pt;width:460.95pt;height:312.75pt;z-index:251684864;mso-height-relative:margin" coordsize="58540,3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s6YwYAAOYsAAAOAAAAZHJzL2Uyb0RvYy54bWzsWl1v2zYUfR+w/0DofbWoT9uIU2RpGwwo&#10;2qLt0GdGpmyhkqhRTOz01+9ekqJsx57jdDGQ1HlwJH6TOjz38F6evV5WJbnlsi1EPfHoK98jvM7E&#10;tKhnE+/vr+/+GHqkVayeslLUfOLd8dZ7ff77b2eLZswDMRfllEsCjdTteNFMvLlSzXgwaLM5r1j7&#10;SjS8hsxcyIopeJWzwVSyBbRelYPA95PBQshpI0XG2xZS35hM71y3n+c8Ux/zvOWKlBMPxqb0r9S/&#10;1/g7OD9j45lkzbzI7DDYI0ZRsaKGTl1Tb5hi5EYW95qqikyKVuTqVSaqgcjzIuN6DjAb6m/M5kqK&#10;m0bPZTZezBq3TLC0G+v06GazD7efJCmmEy/ySM0q+ERX8qZpBIlwbRbNbAxFrmTzpfkkbcLMvOF0&#10;l7ms8D9MhCz1qt65VeVLRTJIjIdx5A9Dj2SQF47SgMa6bTbO5vBx7tXL5m/31Bx0HQ9wfG447sWN&#10;206Nxhtzg4TDJxdEURyNPLJlhkGShgF0gjOkCR0FsUXW3hnuqHnwDDe/Hv3/Pt/aEP0kGfqPmlxf&#10;c+fkgALaHuXtz6H8y5w1XG+eFiFsoeCQ8JkroKWZKAWxYNDFHMzbcQuI34JxGgXDFL7vFhwEYQyL&#10;ZXEQxSkQFOLMzZeNG9mqKy4qgg8TTwI/adpgt+9bZYp2RbDrWrwryhLS2bisyQK2D4Xm8bUVZTHF&#10;TP2CbMkvS0luGfCcWlLb7UopGERZw1gWTTcz/aTuSm6a/8xz4AHYr4HpYL1NlmW8VtRkzdmUm65i&#10;H/66zroaesZlDQ1iyzkM0rVtG+hKmka6ts38bXmsyjWBu8r+fw3MVHY1dM+iVq5yVdRCbmughFnZ&#10;nk35bpHM0uAqqeX1Eorg47WY3gGUpDCWpG2ydwV8yvesVZ+YBNMBwABzqD7CT14K+GTCPnlkLuSP&#10;belYHrAOuR5ZgCmaeO0/N0xyj5R/1bALRjSK0HbpFw0rj8jVnOvVnPqmuhSAAgqGt8n0I1SWquwe&#10;cymqb2A1L7BXyGJ1Bn1PvEzJ7uVSGRMJdjfjFxe6GNirhqn39Zcmw8ZxgRGqX5ffmGwsnhVw/gfR&#10;7Tw23oC1KYs1a3Fxo0ReaMz362qXHljArPaT00HaGYYVOkgRDjgmYI39dAALCKSfJrDXLS06u7dK&#10;nKEfWd48sYHbk8+XDbRi0rzRg/dECk9PCr3gOxJBUNjfRhZfiroGzSAkJ5RAck8Sl7WVxp1l7eSp&#10;08VBHAcp8ANSBe2FEFg4q3QhC7VjMIJyWo7sZomyqFHW3CNXlBWYjFb+SfXBA3btduP/APt9bOPf&#10;S6V8l/E3Fh8VAm7145kmCgZ8G/Ic64B52o+8BFQonkwQeCEYKYOuHnhhGgdDVLMIv07Jdae6Topa&#10;674feceSqCcIWiw6l8CTHJZosAWCAYHkQ8hvHwQ77otTPNzgRuv5cwOBrZKsmM2V5uIMuNgAYUNm&#10;9kz4c3hkY8WK8m09JequAceIkgWcGEtux/jA49QJq8fBKjiY7tElYDU8CKtRRH3kyJ18eQLrC7ft&#10;x1eYSQfclTMoTVZgu/8QGoc0CcDTjlY+gWPnUDN0b+XTMIw6/2QQpYlxT+7m2ZNfCv1oz8IvpU+i&#10;ziCf3FMvyj1Ft/mnILGXX/u5AdzV0SiAw8SJHH45p7UmB6eATuRwPHKwYUn0UukIqg0/OZFqg6z2&#10;2zwiyApR1CGIVaSC3s6vhVrpkIZp9JhQ60pNpxF6XYRRsaNIeiQtK+lZy8uSkWlBFG+VIJC1zoFE&#10;Lf8UELxy6Tuid2HsD9PICPyNxQvCANW/cYWAWyTadxrdp5JWom/gkFuPefVRp7VSJsqXwCi1i28t&#10;D8/CLsZ3XbLsO64BfKCVUvBm/H8mEGaDivi1zHropy0xvwe45p6N7p9+1yCApdjp08OAnuZGGyV/&#10;0XE99ctF9QJHs5f3iMNZQxvdezhxBKMR3mJBGeXH4FTVMqzn3nX6SGg01AUcgR4c/F/Z1if60FcJ&#10;XHQf9q6+baQjHevEun5oczWwpKUDU3nnfYBD6MPdHHnB0urXo4/dssOpiwPJA0QF0MYoSoLRBmuA&#10;1BrSBFw3GH9JArhG1hmvHUGYk+jAONXejX/sQOIhrOF8eyfWOM5Vov7soqO4+jKtVs724i/e1l19&#10;16X668nn/wIAAP//AwBQSwMEFAAGAAgAAAAhABqU9ObeAAAACAEAAA8AAABkcnMvZG93bnJldi54&#10;bWxMj0FLw0AQhe+C/2EZwZvdJJJiYzalFPVUBFtBvE2TaRKanQ3ZbZL+e8eTnobHe7z5Xr6ebadG&#10;Gnzr2EC8iEARl65quTbweXh9eALlA3KFnWMycCUP6+L2JseschN/0LgPtZIS9hkaaELoM6192ZBF&#10;v3A9sXgnN1gMIodaVwNOUm47nUTRUltsWT402NO2ofK8v1gDbxNOm8f4ZdydT9vr9yF9/9rFZMz9&#10;3bx5BhVoDn9h+MUXdCiE6eguXHnViZYlwUCSyhV7lSQrUEcDyzRKQRe5/j+g+AEAAP//AwBQSwEC&#10;LQAUAAYACAAAACEAtoM4kv4AAADhAQAAEwAAAAAAAAAAAAAAAAAAAAAAW0NvbnRlbnRfVHlwZXNd&#10;LnhtbFBLAQItABQABgAIAAAAIQA4/SH/1gAAAJQBAAALAAAAAAAAAAAAAAAAAC8BAABfcmVscy8u&#10;cmVsc1BLAQItABQABgAIAAAAIQAwYZs6YwYAAOYsAAAOAAAAAAAAAAAAAAAAAC4CAABkcnMvZTJv&#10;RG9jLnhtbFBLAQItABQABgAIAAAAIQAalPTm3gAAAAgBAAAPAAAAAAAAAAAAAAAAAL0IAABkcnMv&#10;ZG93bnJldi54bWxQSwUGAAAAAAQABADzAAAAyAkAAAAA&#10;">
                <v:group id="Gruppo 15" o:spid="_x0000_s1027" style="position:absolute;left:2445;width:52673;height:16192" coordsize="52673,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po 14" o:spid="_x0000_s1028" style="position:absolute;width:52673;height:10668" coordsize="5267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5" o:spid="_x0000_s1029" style="position:absolute;left:14287;width:235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f4wgAAANoAAAAPAAAAZHJzL2Rvd25yZXYueG1sRI9Ba8JA&#10;FITvBf/D8gQvRTdKLRJdRYSAp0Kt1Osj+0yieW9DdjXJv+8WCj0OM/MNs9n1XKsntb5yYmA+S0CR&#10;5M5WUhg4f2XTFSgfUCzWTsjAQB5229HLBlPrOvmk5ykUKkLEp2igDKFJtfZ5SYx+5hqS6F1dyxii&#10;bAttW+winGu9SJJ3zVhJXCixoUNJ+f30YANvF//6vfrQQxL4fGMesuWjy4yZjPv9GlSgPvyH/9pH&#10;a2AJv1fiDdDbHwAAAP//AwBQSwECLQAUAAYACAAAACEA2+H2y+4AAACFAQAAEwAAAAAAAAAAAAAA&#10;AAAAAAAAW0NvbnRlbnRfVHlwZXNdLnhtbFBLAQItABQABgAIAAAAIQBa9CxbvwAAABUBAAALAAAA&#10;AAAAAAAAAAAAAB8BAABfcmVscy8ucmVsc1BLAQItABQABgAIAAAAIQBPsof4wgAAANoAAAAPAAAA&#10;AAAAAAAAAAAAAAcCAABkcnMvZG93bnJldi54bWxQSwUGAAAAAAMAAwC3AAAA9gIAAAAA&#10;" filled="f" strokecolor="black [3213]" strokeweight=".25pt">
                      <v:textbox>
                        <w:txbxContent>
                          <w:p w14:paraId="51BACA00" w14:textId="77777777" w:rsidR="002860F8" w:rsidRPr="00D0367B" w:rsidRDefault="002860F8" w:rsidP="00EF5D9E">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Dose iniziale</w:t>
                            </w:r>
                          </w:p>
                          <w:p w14:paraId="05E44CB4" w14:textId="27ED96DC" w:rsidR="002860F8" w:rsidRPr="00D0367B" w:rsidRDefault="002860F8" w:rsidP="00EF5D9E">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100</w:t>
                            </w:r>
                            <w:r w:rsidRPr="00C968F8">
                              <w:rPr>
                                <w:color w:val="000000" w:themeColor="text1"/>
                                <w14:textOutline w14:w="9525" w14:cap="rnd" w14:cmpd="sng" w14:algn="ctr">
                                  <w14:noFill/>
                                  <w14:prstDash w14:val="solid"/>
                                  <w14:bevel/>
                                </w14:textOutline>
                              </w:rPr>
                              <w:t> </w:t>
                            </w:r>
                            <w:r w:rsidRPr="00D0367B">
                              <w:rPr>
                                <w:color w:val="000000" w:themeColor="text1"/>
                                <w14:textOutline w14:w="9525" w14:cap="rnd" w14:cmpd="sng" w14:algn="ctr">
                                  <w14:noFill/>
                                  <w14:prstDash w14:val="solid"/>
                                  <w14:bevel/>
                                </w14:textOutline>
                              </w:rPr>
                              <w:t>μg</w:t>
                            </w:r>
                          </w:p>
                        </w:txbxContent>
                      </v:textbox>
                    </v:rect>
                    <v:rect id="Rettangolo 7" o:spid="_x0000_s1030" style="position:absolute;top:7620;width:5267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wUwwAAANoAAAAPAAAAZHJzL2Rvd25yZXYueG1sRI9Ba8JA&#10;FITvBf/D8oReim6UWiV1FRECPQm1ob0+sq9J2ry3Ibua5N+7hYLHYWa+Ybb7gRt1pc7XTgws5gko&#10;ksLZWkoD+Uc224DyAcVi44QMjORhv5s8bDG1rpd3up5DqSJEfIoGqhDaVGtfVMTo564lid636xhD&#10;lF2pbYd9hHOjl0nyohlriQsVtnSsqPg9X9jA85d/+tyc9JgEzn+Yx2x16TNjHqfD4RVUoCHcw//t&#10;N2tgDX9X4g3QuxsAAAD//wMAUEsBAi0AFAAGAAgAAAAhANvh9svuAAAAhQEAABMAAAAAAAAAAAAA&#10;AAAAAAAAAFtDb250ZW50X1R5cGVzXS54bWxQSwECLQAUAAYACAAAACEAWvQsW78AAAAVAQAACwAA&#10;AAAAAAAAAAAAAAAfAQAAX3JlbHMvLnJlbHNQSwECLQAUAAYACAAAACEA0Cy8FMMAAADaAAAADwAA&#10;AAAAAAAAAAAAAAAHAgAAZHJzL2Rvd25yZXYueG1sUEsFBgAAAAADAAMAtwAAAPcCAAAAAA==&#10;" filled="f" strokecolor="black [3213]" strokeweight=".25pt">
                      <v:textbox>
                        <w:txbxContent>
                          <w:p w14:paraId="3A815515" w14:textId="60C12F17" w:rsidR="002860F8" w:rsidRPr="00D0367B" w:rsidRDefault="002860F8" w:rsidP="00F92D32">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Adeguato sollievo dal dolore entro 15-30</w:t>
                            </w:r>
                            <w:r>
                              <w:rPr>
                                <w:color w:val="000000" w:themeColor="text1"/>
                                <w14:textOutline w14:w="9525" w14:cap="rnd" w14:cmpd="sng" w14:algn="ctr">
                                  <w14:noFill/>
                                  <w14:prstDash w14:val="solid"/>
                                  <w14:bevel/>
                                </w14:textOutline>
                              </w:rPr>
                              <w:t> </w:t>
                            </w:r>
                            <w:r w:rsidRPr="00D0367B">
                              <w:rPr>
                                <w:color w:val="000000" w:themeColor="text1"/>
                                <w14:textOutline w14:w="9525" w14:cap="rnd" w14:cmpd="sng" w14:algn="ctr">
                                  <w14:noFill/>
                                  <w14:prstDash w14:val="solid"/>
                                  <w14:bevel/>
                                </w14:textOutline>
                              </w:rPr>
                              <w:t>minuti?</w:t>
                            </w:r>
                          </w:p>
                        </w:txbxContent>
                      </v:textbox>
                    </v:rect>
                  </v:group>
                  <v:line id="Connettore 1 10" o:spid="_x0000_s1031" style="position:absolute;visibility:visible;mso-wrap-style:square" from="25527,10668" to="25527,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Connettore 1 11" o:spid="_x0000_s1032" style="position:absolute;visibility:visible;mso-wrap-style:square" from="6572,13620" to="4410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8uqvgAAANsAAAAPAAAAZHJzL2Rvd25yZXYueG1sRE9Ni8Iw&#10;EL0v+B/CCHvTVJFFqmkRQfSqK+t1aMY22ExqE2vtr98sCHubx/ucdd7bWnTUeuNYwWyagCAunDZc&#10;Kjh/7yZLED4ga6wdk4IXeciz0ccaU+2efKTuFEoRQ9inqKAKoUml9EVFFv3UNcSRu7rWYoiwLaVu&#10;8RnDbS3nSfIlLRqODRU2tK2ouJ0eVsH9h/a7oRuauxnCYssXUx72RqnPcb9ZgQjUh3/x233Qcf4M&#10;/n6JB8jsFwAA//8DAFBLAQItABQABgAIAAAAIQDb4fbL7gAAAIUBAAATAAAAAAAAAAAAAAAAAAAA&#10;AABbQ29udGVudF9UeXBlc10ueG1sUEsBAi0AFAAGAAgAAAAhAFr0LFu/AAAAFQEAAAsAAAAAAAAA&#10;AAAAAAAAHwEAAF9yZWxzLy5yZWxzUEsBAi0AFAAGAAgAAAAhAKr3y6q+AAAA2wAAAA8AAAAAAAAA&#10;AAAAAAAABwIAAGRycy9kb3ducmV2LnhtbFBLBQYAAAAAAwADALcAAADyAgAAAAA=&#10;" strokecolor="black [3213]" strokeweight=".25pt"/>
                  <v:shapetype id="_x0000_t32" coordsize="21600,21600" o:spt="32" o:oned="t" path="m,l21600,21600e" filled="f">
                    <v:path arrowok="t" fillok="f" o:connecttype="none"/>
                    <o:lock v:ext="edit" shapetype="t"/>
                  </v:shapetype>
                  <v:shape id="Connettore 2 12" o:spid="_x0000_s1033" type="#_x0000_t32" style="position:absolute;left:6572;top:13620;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YN3wwAAANsAAAAPAAAAZHJzL2Rvd25yZXYueG1sRE9Na8JA&#10;EL0L/Q/LFHoR3RiKaOpGitDioQgm7aG3ITvdhGRnQ3aryb93hUJv83ifs9uPthMXGnzjWMFqmYAg&#10;rpxu2Cj4LN8WGxA+IGvsHJOCiTzs84fZDjPtrnymSxGMiCHsM1RQh9BnUvqqJot+6XriyP24wWKI&#10;cDBSD3iN4baTaZKspcWGY0ONPR1qqtri1yp4/jByep+mU7L9bsvUfvlybrxST4/j6wuIQGP4F/+5&#10;jzrOT+H+SzxA5jcAAAD//wMAUEsBAi0AFAAGAAgAAAAhANvh9svuAAAAhQEAABMAAAAAAAAAAAAA&#10;AAAAAAAAAFtDb250ZW50X1R5cGVzXS54bWxQSwECLQAUAAYACAAAACEAWvQsW78AAAAVAQAACwAA&#10;AAAAAAAAAAAAAAAfAQAAX3JlbHMvLnJlbHNQSwECLQAUAAYACAAAACEAXu2Dd8MAAADbAAAADwAA&#10;AAAAAAAAAAAAAAAHAgAAZHJzL2Rvd25yZXYueG1sUEsFBgAAAAADAAMAtwAAAPcCAAAAAA==&#10;" strokecolor="black [3213]" strokeweight=".25pt">
                    <v:stroke endarrow="block"/>
                  </v:shape>
                  <v:shape id="Connettore 2 13" o:spid="_x0000_s1034" type="#_x0000_t32" style="position:absolute;left:44100;top:13620;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bswwAAANsAAAAPAAAAZHJzL2Rvd25yZXYueG1sRE9Na8JA&#10;EL0X/A/LCF6KbrSlaHQjUrD0IIUaPXgbsuMmJDsbsltN/n1XKPQ2j/c5m21vG3GjzleOFcxnCQji&#10;wumKjYJTvp8uQfiArLFxTAoG8rDNRk8bTLW78zfdjsGIGMI+RQVlCG0qpS9KsuhnriWO3NV1FkOE&#10;nZG6w3sMt41cJMmbtFhxbCixpfeSivr4YxW8HowcPobhK1ld6nxhzz5/Nl6pybjfrUEE6sO/+M/9&#10;qeP8F3j8Eg+Q2S8AAAD//wMAUEsBAi0AFAAGAAgAAAAhANvh9svuAAAAhQEAABMAAAAAAAAAAAAA&#10;AAAAAAAAAFtDb250ZW50X1R5cGVzXS54bWxQSwECLQAUAAYACAAAACEAWvQsW78AAAAVAQAACwAA&#10;AAAAAAAAAAAAAAAfAQAAX3JlbHMvLnJlbHNQSwECLQAUAAYACAAAACEAMaEm7MMAAADbAAAADwAA&#10;AAAAAAAAAAAAAAAHAgAAZHJzL2Rvd25yZXYueG1sUEsFBgAAAAADAAMAtwAAAPcCAAAAAA==&#10;" strokecolor="black [3213]" strokeweight=".25pt">
                    <v:stroke endarrow="block"/>
                  </v:shape>
                </v:group>
                <v:rect id="Rettangolo 16" o:spid="_x0000_s1035" style="position:absolute;left:5316;top:16267;width:7334;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RLwAAAANsAAAAPAAAAZHJzL2Rvd25yZXYueG1sRE9Na8JA&#10;EL0X/A/LCF6KblpakegqUgj0JNSKXofsmEQzsyG7muTfdwuCt3m8z1lteq7VnVpfOTHwNktAkeTO&#10;VlIYOPxm0wUoH1As1k7IwEAeNuvRywpT6zr5ofs+FCqGiE/RQBlCk2rt85IY/cw1JJE7u5YxRNgW&#10;2rbYxXCu9XuSzDVjJbGhxIa+Ssqv+xsb+Dj51+Nip4ck8OHCPGSfty4zZjLut0tQgfrwFD/c3zbO&#10;n8P/L/EAvf4DAAD//wMAUEsBAi0AFAAGAAgAAAAhANvh9svuAAAAhQEAABMAAAAAAAAAAAAAAAAA&#10;AAAAAFtDb250ZW50X1R5cGVzXS54bWxQSwECLQAUAAYACAAAACEAWvQsW78AAAAVAQAACwAAAAAA&#10;AAAAAAAAAAAfAQAAX3JlbHMvLnJlbHNQSwECLQAUAAYACAAAACEAdowkS8AAAADbAAAADwAAAAAA&#10;AAAAAAAAAAAHAgAAZHJzL2Rvd25yZXYueG1sUEsFBgAAAAADAAMAtwAAAPQCAAAAAA==&#10;" filled="f" strokecolor="black [3213]" strokeweight=".25pt">
                  <v:textbox>
                    <w:txbxContent>
                      <w:p w14:paraId="2579F440" w14:textId="77777777" w:rsidR="002860F8" w:rsidRPr="00D0367B" w:rsidRDefault="002860F8" w:rsidP="00F92D32">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Sì</w:t>
                        </w:r>
                      </w:p>
                    </w:txbxContent>
                  </v:textbox>
                </v:rect>
                <v:rect id="Rettangolo 17" o:spid="_x0000_s1036" style="position:absolute;left:42849;top:16267;width:7334;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HQwQAAANsAAAAPAAAAZHJzL2Rvd25yZXYueG1sRE9Na8JA&#10;EL0X/A/LCL0U3Si1SuoqIgR6EmpDex2y0yRtZjZkV5P8e7dQ8DaP9znb/cCNulLnaycGFvMEFEnh&#10;bC2lgfwjm21A+YBisXFCBkbysN9NHraYWtfLO13PoVQxRHyKBqoQ2lRrX1TE6OeuJYnct+sYQ4Rd&#10;qW2HfQznRi+T5EUz1hIbKmzpWFHxe76wgecv//S5OekxCZz/MI/Z6tJnxjxOh8MrqEBDuIv/3W82&#10;zl/D3y/xAL27AQAA//8DAFBLAQItABQABgAIAAAAIQDb4fbL7gAAAIUBAAATAAAAAAAAAAAAAAAA&#10;AAAAAABbQ29udGVudF9UeXBlc10ueG1sUEsBAi0AFAAGAAgAAAAhAFr0LFu/AAAAFQEAAAsAAAAA&#10;AAAAAAAAAAAAHwEAAF9yZWxzLy5yZWxzUEsBAi0AFAAGAAgAAAAhABnAgdDBAAAA2wAAAA8AAAAA&#10;AAAAAAAAAAAABwIAAGRycy9kb3ducmV2LnhtbFBLBQYAAAAAAwADALcAAAD1AgAAAAA=&#10;" filled="f" strokecolor="black [3213]" strokeweight=".25pt">
                  <v:textbox>
                    <w:txbxContent>
                      <w:p w14:paraId="47AB72FF" w14:textId="77777777" w:rsidR="002860F8" w:rsidRPr="00D0367B" w:rsidRDefault="002860F8" w:rsidP="00F92D32">
                        <w:pPr>
                          <w:jc w:val="center"/>
                          <w:rPr>
                            <w:color w:val="000000" w:themeColor="text1"/>
                            <w14:textOutline w14:w="9525" w14:cap="rnd" w14:cmpd="sng" w14:algn="ctr">
                              <w14:noFill/>
                              <w14:prstDash w14:val="solid"/>
                              <w14:bevel/>
                            </w14:textOutline>
                          </w:rPr>
                        </w:pPr>
                        <w:r w:rsidRPr="00D0367B">
                          <w:rPr>
                            <w:color w:val="000000" w:themeColor="text1"/>
                            <w14:textOutline w14:w="9525" w14:cap="rnd" w14:cmpd="sng" w14:algn="ctr">
                              <w14:noFill/>
                              <w14:prstDash w14:val="solid"/>
                              <w14:bevel/>
                            </w14:textOutline>
                          </w:rPr>
                          <w:t>No</w:t>
                        </w:r>
                      </w:p>
                    </w:txbxContent>
                  </v:textbox>
                </v:rect>
                <v:group id="Gruppo 3" o:spid="_x0000_s1037" style="position:absolute;top:21584;width:58540;height:18137" coordsize="58540,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Casella di testo 21" o:spid="_x0000_s1038" type="#_x0000_t202" style="position:absolute;left:35087;width:23241;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7576C726" w14:textId="77777777" w:rsidR="002860F8" w:rsidRPr="00D0367B" w:rsidRDefault="002860F8" w:rsidP="00A22C03">
                          <w:r w:rsidRPr="00D0367B">
                            <w:t>Prendere una seconda compressa</w:t>
                          </w:r>
                        </w:p>
                        <w:p w14:paraId="68C2EB9F" w14:textId="77777777" w:rsidR="002860F8" w:rsidRDefault="002860F8" w:rsidP="00A22C03">
                          <w:r>
                            <w:t>(Vedere la tabella per determinare la concentrazione della seconda compressa)</w:t>
                          </w:r>
                        </w:p>
                      </w:txbxContent>
                    </v:textbox>
                  </v:shape>
                  <v:shape id="Casella di testo 23" o:spid="_x0000_s1039" type="#_x0000_t202" style="position:absolute;left:35299;top:10522;width:23241;height:7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6A6896AE" w14:textId="77777777" w:rsidR="002860F8" w:rsidRPr="00D0367B" w:rsidRDefault="002860F8" w:rsidP="003908D9">
                          <w:r w:rsidRPr="00D0367B">
                            <w:t>Aumentare la prima compressa al dosaggio immediatamente superiore nella successiva manifestazione di dolore episodico intenso</w:t>
                          </w:r>
                        </w:p>
                      </w:txbxContent>
                    </v:textbox>
                  </v:shape>
                  <v:shape id="Casella di testo 1" o:spid="_x0000_s1040" type="#_x0000_t202" style="position:absolute;top:9462;width:18181;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6E19CDED" w14:textId="77777777" w:rsidR="002860F8" w:rsidRPr="00D0367B" w:rsidRDefault="002860F8" w:rsidP="002D2FE7">
                          <w:r w:rsidRPr="00D0367B">
                            <w:t xml:space="preserve">Usare questa dose nelle seguenti manifestazioni di dolore episodico intenso </w:t>
                          </w:r>
                        </w:p>
                      </w:txbxContent>
                    </v:textbox>
                  </v:shape>
                </v:group>
              </v:group>
            </w:pict>
          </mc:Fallback>
        </mc:AlternateContent>
      </w:r>
    </w:p>
    <w:p w14:paraId="4366D14C" w14:textId="77777777" w:rsidR="00EF5D9E" w:rsidRDefault="00EF5D9E" w:rsidP="00AD4B58">
      <w:pPr>
        <w:suppressAutoHyphens/>
        <w:rPr>
          <w:noProof/>
          <w:szCs w:val="22"/>
          <w:u w:val="single"/>
        </w:rPr>
      </w:pPr>
    </w:p>
    <w:p w14:paraId="5A782BA5" w14:textId="77777777" w:rsidR="00EF5D9E" w:rsidRDefault="00EF5D9E" w:rsidP="00AD4B58">
      <w:pPr>
        <w:suppressAutoHyphens/>
        <w:rPr>
          <w:noProof/>
          <w:szCs w:val="22"/>
          <w:u w:val="single"/>
        </w:rPr>
      </w:pPr>
    </w:p>
    <w:p w14:paraId="4F2F4D61" w14:textId="77777777" w:rsidR="00EF5D9E" w:rsidRDefault="00F92D32" w:rsidP="00AD4B58">
      <w:pPr>
        <w:suppressAutoHyphens/>
        <w:rPr>
          <w:noProof/>
          <w:szCs w:val="22"/>
          <w:u w:val="single"/>
        </w:rPr>
      </w:pPr>
      <w:r>
        <w:rPr>
          <w:noProof/>
          <w:szCs w:val="22"/>
          <w:u w:val="single"/>
          <w:lang w:eastAsia="it-IT"/>
        </w:rPr>
        <mc:AlternateContent>
          <mc:Choice Requires="wps">
            <w:drawing>
              <wp:anchor distT="0" distB="0" distL="114300" distR="114300" simplePos="0" relativeHeight="251656192" behindDoc="0" locked="0" layoutInCell="1" allowOverlap="1" wp14:anchorId="68C28088" wp14:editId="08C9DB9E">
                <wp:simplePos x="0" y="0"/>
                <wp:positionH relativeFrom="column">
                  <wp:posOffset>2804795</wp:posOffset>
                </wp:positionH>
                <wp:positionV relativeFrom="paragraph">
                  <wp:posOffset>133985</wp:posOffset>
                </wp:positionV>
                <wp:extent cx="0" cy="288000"/>
                <wp:effectExtent l="76200" t="0" r="57150" b="55245"/>
                <wp:wrapNone/>
                <wp:docPr id="6" name="Connettore 2 6"/>
                <wp:cNvGraphicFramePr/>
                <a:graphic xmlns:a="http://schemas.openxmlformats.org/drawingml/2006/main">
                  <a:graphicData uri="http://schemas.microsoft.com/office/word/2010/wordprocessingShape">
                    <wps:wsp>
                      <wps:cNvCnPr/>
                      <wps:spPr>
                        <a:xfrm>
                          <a:off x="0" y="0"/>
                          <a:ext cx="0" cy="2880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2B2ACF" id="Connettore 2 6" o:spid="_x0000_s1026" type="#_x0000_t32" style="position:absolute;margin-left:220.85pt;margin-top:10.55pt;width:0;height:2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w06AEAAC8EAAAOAAAAZHJzL2Uyb0RvYy54bWysU82O0zAQviPxDpbvNGkRpaqa7qHLckFQ&#10;wfIAXmecWPKf7KFp3p6x06bswgXExYnt+eb7yWR3d7aGnSAm7V3Dl4uaM3DSt9p1Df/++PBmw1lC&#10;4VphvIOGj5D43f71q90QtrDyvTctREZNXNoOoeE9YthWVZI9WJEWPoCjS+WjFUjb2FVtFAN1t6Za&#10;1fW6GnxsQ/QSUqLT++mS70t/pUDiF6USIDMNJ21Y1ljWp7xW+53YdlGEXsuLDPEPKqzQjkjnVvcC&#10;BfsR9W+trJbRJ69wIb2tvFJaQvFAbpb1CzffehGgeKFwUphjSv+vrfx8Okam24avOXPC0ic6eOcA&#10;0UdgK7bOCQ0hbanw4I7xskvhGLPds4o2P8kIO5dUxzlVOCOT06Gk09VmU9cl8OqGCzHhR/CW5ZeG&#10;J4xCdz0WCZIkLEuo4vQpITET8ArIpMaxoeFvl+/flarkjW4ftDH5rgwQHExkJ0GfHs/LbIQaPKtC&#10;oc0H1zIcAxnHqIXrDFwqjSNAtj6ZLW84Gpiov4Ki2MjeJPEFn5ASHF45jaPqDFOkbgbWk+o86Teh&#10;z4GX+gyFMsx/A54Rhdk7nMFWOx//xH6LSU311wQm3zmCJ9+OZQxKNDSVJdXLH5TH/td9gd/+8/1P&#10;AAAA//8DAFBLAwQUAAYACAAAACEAI/Uy5N0AAAAJAQAADwAAAGRycy9kb3ducmV2LnhtbEyPwUrD&#10;QBCG74LvsIzgzW5S2igxkyKC4qEgxtrzNjvJBrOzIbtpY5/eFQ96nJmPf76/2My2F0cafecYIV0k&#10;IIhrpztuEXbvTzd3IHxQrFXvmBC+yMOmvLwoVK7did/oWIVWxBD2uUIwIQy5lL42ZJVfuIE43ho3&#10;WhXiOLZSj+oUw20vl0mSSas6jh+MGujRUP1ZTRahqww11X67c9P55Xkvt436MK+I11fzwz2IQHP4&#10;g+FHP6pDGZ0ObmLtRY+wWqW3EUVYpimICPwuDghZtgZZFvJ/g/IbAAD//wMAUEsBAi0AFAAGAAgA&#10;AAAhALaDOJL+AAAA4QEAABMAAAAAAAAAAAAAAAAAAAAAAFtDb250ZW50X1R5cGVzXS54bWxQSwEC&#10;LQAUAAYACAAAACEAOP0h/9YAAACUAQAACwAAAAAAAAAAAAAAAAAvAQAAX3JlbHMvLnJlbHNQSwEC&#10;LQAUAAYACAAAACEAfKFMNOgBAAAvBAAADgAAAAAAAAAAAAAAAAAuAgAAZHJzL2Uyb0RvYy54bWxQ&#10;SwECLQAUAAYACAAAACEAI/Uy5N0AAAAJAQAADwAAAAAAAAAAAAAAAABCBAAAZHJzL2Rvd25yZXYu&#10;eG1sUEsFBgAAAAAEAAQA8wAAAEwFAAAAAA==&#10;" strokecolor="black [3213]" strokeweight=".25pt">
                <v:stroke endarrow="block"/>
              </v:shape>
            </w:pict>
          </mc:Fallback>
        </mc:AlternateContent>
      </w:r>
    </w:p>
    <w:p w14:paraId="64B8666A" w14:textId="77777777" w:rsidR="001059E1" w:rsidRDefault="001059E1" w:rsidP="00AD4B58">
      <w:pPr>
        <w:suppressAutoHyphens/>
        <w:rPr>
          <w:noProof/>
          <w:szCs w:val="22"/>
          <w:u w:val="single"/>
        </w:rPr>
      </w:pPr>
    </w:p>
    <w:p w14:paraId="113DEB18" w14:textId="77777777" w:rsidR="00EF5D9E" w:rsidRDefault="00EF5D9E" w:rsidP="00AD4B58">
      <w:pPr>
        <w:suppressAutoHyphens/>
        <w:rPr>
          <w:noProof/>
          <w:szCs w:val="22"/>
          <w:u w:val="single"/>
        </w:rPr>
      </w:pPr>
    </w:p>
    <w:p w14:paraId="0F70B17E" w14:textId="77777777" w:rsidR="00EF5D9E" w:rsidRDefault="00EF5D9E" w:rsidP="00AD4B58">
      <w:pPr>
        <w:suppressAutoHyphens/>
        <w:rPr>
          <w:noProof/>
          <w:szCs w:val="22"/>
          <w:u w:val="single"/>
        </w:rPr>
      </w:pPr>
    </w:p>
    <w:p w14:paraId="7155E3F8" w14:textId="77777777" w:rsidR="00EF5D9E" w:rsidRDefault="00EF5D9E" w:rsidP="00AD4B58">
      <w:pPr>
        <w:suppressAutoHyphens/>
        <w:rPr>
          <w:noProof/>
          <w:szCs w:val="22"/>
          <w:u w:val="single"/>
        </w:rPr>
      </w:pPr>
    </w:p>
    <w:p w14:paraId="07179FF3" w14:textId="77777777" w:rsidR="00EF5D9E" w:rsidRDefault="00EF5D9E" w:rsidP="00AD4B58">
      <w:pPr>
        <w:suppressAutoHyphens/>
        <w:rPr>
          <w:noProof/>
          <w:szCs w:val="22"/>
          <w:u w:val="single"/>
        </w:rPr>
      </w:pPr>
    </w:p>
    <w:p w14:paraId="305FF4AF" w14:textId="77777777" w:rsidR="00EF5D9E" w:rsidRDefault="00EF5D9E" w:rsidP="00AD4B58">
      <w:pPr>
        <w:suppressAutoHyphens/>
        <w:rPr>
          <w:noProof/>
          <w:szCs w:val="22"/>
          <w:u w:val="single"/>
        </w:rPr>
      </w:pPr>
    </w:p>
    <w:p w14:paraId="6C3ABB62" w14:textId="77777777" w:rsidR="00F92D32" w:rsidRDefault="00F92D32" w:rsidP="00AD4B58">
      <w:pPr>
        <w:suppressAutoHyphens/>
        <w:rPr>
          <w:noProof/>
          <w:szCs w:val="22"/>
          <w:u w:val="single"/>
        </w:rPr>
      </w:pPr>
    </w:p>
    <w:p w14:paraId="24338854" w14:textId="77777777" w:rsidR="00F92D32" w:rsidRDefault="00F92D32" w:rsidP="00AD4B58">
      <w:pPr>
        <w:suppressAutoHyphens/>
        <w:rPr>
          <w:noProof/>
          <w:szCs w:val="22"/>
          <w:u w:val="single"/>
        </w:rPr>
      </w:pPr>
    </w:p>
    <w:p w14:paraId="6801BD61" w14:textId="77777777" w:rsidR="00F92D32" w:rsidRDefault="00F92D32" w:rsidP="00AD4B58">
      <w:pPr>
        <w:suppressAutoHyphens/>
        <w:rPr>
          <w:noProof/>
          <w:szCs w:val="22"/>
          <w:u w:val="single"/>
        </w:rPr>
      </w:pPr>
      <w:r>
        <w:rPr>
          <w:noProof/>
          <w:lang w:eastAsia="it-IT"/>
        </w:rPr>
        <mc:AlternateContent>
          <mc:Choice Requires="wps">
            <w:drawing>
              <wp:anchor distT="0" distB="0" distL="114300" distR="114300" simplePos="0" relativeHeight="251673600" behindDoc="0" locked="0" layoutInCell="1" allowOverlap="1" wp14:anchorId="42FAF9B1" wp14:editId="3149C51B">
                <wp:simplePos x="0" y="0"/>
                <wp:positionH relativeFrom="column">
                  <wp:posOffset>4657725</wp:posOffset>
                </wp:positionH>
                <wp:positionV relativeFrom="paragraph">
                  <wp:posOffset>100330</wp:posOffset>
                </wp:positionV>
                <wp:extent cx="0" cy="257175"/>
                <wp:effectExtent l="0" t="0" r="0" b="0"/>
                <wp:wrapNone/>
                <wp:docPr id="19" name="Connettore 2 19"/>
                <wp:cNvGraphicFramePr/>
                <a:graphic xmlns:a="http://schemas.openxmlformats.org/drawingml/2006/main">
                  <a:graphicData uri="http://schemas.microsoft.com/office/word/2010/wordprocessingShape">
                    <wps:wsp>
                      <wps:cNvCnPr/>
                      <wps:spPr>
                        <a:xfrm>
                          <a:off x="0" y="0"/>
                          <a:ext cx="0" cy="2571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557881" id="Connettore 2 19" o:spid="_x0000_s1026" type="#_x0000_t32" style="position:absolute;margin-left:366.75pt;margin-top:7.9pt;width:0;height:20.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Ro6AEAADEEAAAOAAAAZHJzL2Uyb0RvYy54bWysU02P0zAQvSPxHyzfadqiZaFquocuywVB&#10;xcIP8DrjxJK/ZA9N+u8ZO2lKgcuuuDgZe97Me8/j7d1gDTtCTNq7mq8WS87ASd9o19b8x/eHN+85&#10;SyhcI4x3UPMTJH63e/1q24cNrH3nTQORURGXNn2oeYcYNlWVZAdWpIUP4OhQ+WgFUhjbqomip+rW&#10;VOvl8l3V+9iE6CWkRLv34yHflfpKgcSvSiVAZmpO3LCssaxPea12W7FpowidlhMN8QIWVmhHTedS&#10;9wIF+xn1X6WsltEnr3Ahva28UlpC0UBqVss/1Dx2IkDRQuakMNuU/l9Z+eV4iEw3dHcfOHPC0h3t&#10;vXOA6COwNaNt8qgPaUOpe3eIU5TCIWbBg4o2f0kKG4qvp9lXGJDJcVPS7vrmdnV7k8tVF1yICT+B&#10;tyz/1DxhFLrtsHCQxGFVbBXHzwlH4BmQmxrH+pq/zVVzmLzRzYM2pgR5hGBvIjsKunwcVlPnqywU&#10;2nx0DcNTIOUYtXCtgSnTOKKapY9iyx+eDIytv4Ei40jeSLGM7KWfkBIcnnsaR9kZpojdDFyOrK+J&#10;XgOn/AyFMs7PAc+I0tk7nMFWOx//1f1ikxrzzw6MurMFT745lTEo1tBclvuc3lAe/N/jAr+89N0v&#10;AAAA//8DAFBLAwQUAAYACAAAACEAp1Cke90AAAAJAQAADwAAAGRycy9kb3ducmV2LnhtbEyPQUvD&#10;QBCF74L/YRnBm91oSJU0myKC4qEgxtrzNDvJhmZ3Q3bTRn+9Ix7qcd77ePNesZ5tL440hs47BbeL&#10;BAS52uvOtQq2H883DyBCRKex944UfFGAdXl5UWCu/cm907GKreAQF3JUYGIccilDbchiWPiBHHuN&#10;Hy1GPsdW6hFPHG57eZckS2mxc/zB4EBPhupDNVkFXWWoqXabrZ++X192ctPgp3lT6vpqflyBiDTH&#10;Mwy/9bk6lNxp7yeng+gV3KdpxigbGU9g4E/YK8iWKciykP8XlD8AAAD//wMAUEsBAi0AFAAGAAgA&#10;AAAhALaDOJL+AAAA4QEAABMAAAAAAAAAAAAAAAAAAAAAAFtDb250ZW50X1R5cGVzXS54bWxQSwEC&#10;LQAUAAYACAAAACEAOP0h/9YAAACUAQAACwAAAAAAAAAAAAAAAAAvAQAAX3JlbHMvLnJlbHNQSwEC&#10;LQAUAAYACAAAACEAhbfEaOgBAAAxBAAADgAAAAAAAAAAAAAAAAAuAgAAZHJzL2Uyb0RvYy54bWxQ&#10;SwECLQAUAAYACAAAACEAp1Cke90AAAAJAQAADwAAAAAAAAAAAAAAAABCBAAAZHJzL2Rvd25yZXYu&#10;eG1sUEsFBgAAAAAEAAQA8wAAAEwFAAAAAA==&#10;" strokecolor="black [3213]" strokeweight=".25pt">
                <v:stroke endarrow="block"/>
              </v:shape>
            </w:pict>
          </mc:Fallback>
        </mc:AlternateContent>
      </w:r>
      <w:r>
        <w:rPr>
          <w:noProof/>
          <w:lang w:eastAsia="it-IT"/>
        </w:rPr>
        <mc:AlternateContent>
          <mc:Choice Requires="wps">
            <w:drawing>
              <wp:anchor distT="0" distB="0" distL="114300" distR="114300" simplePos="0" relativeHeight="251671552" behindDoc="0" locked="0" layoutInCell="1" allowOverlap="1" wp14:anchorId="761B736C" wp14:editId="1627F58A">
                <wp:simplePos x="0" y="0"/>
                <wp:positionH relativeFrom="column">
                  <wp:posOffset>895350</wp:posOffset>
                </wp:positionH>
                <wp:positionV relativeFrom="paragraph">
                  <wp:posOffset>101600</wp:posOffset>
                </wp:positionV>
                <wp:extent cx="0" cy="1224000"/>
                <wp:effectExtent l="76200" t="0" r="57150" b="52705"/>
                <wp:wrapNone/>
                <wp:docPr id="18" name="Connettore 2 18"/>
                <wp:cNvGraphicFramePr/>
                <a:graphic xmlns:a="http://schemas.openxmlformats.org/drawingml/2006/main">
                  <a:graphicData uri="http://schemas.microsoft.com/office/word/2010/wordprocessingShape">
                    <wps:wsp>
                      <wps:cNvCnPr/>
                      <wps:spPr>
                        <a:xfrm>
                          <a:off x="0" y="0"/>
                          <a:ext cx="0" cy="12240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62FFC2E" id="Connettore 2 18" o:spid="_x0000_s1026" type="#_x0000_t32" style="position:absolute;margin-left:70.5pt;margin-top:8pt;width:0;height:9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Xr6gEAADIEAAAOAAAAZHJzL2Uyb0RvYy54bWysU8lu2zAQvRfoPxC811q6wrCcg9P0UrRG&#10;lw9gqKFFgBvIqSX/fYeULTdpLw1yocThvJn3Hoebm8kadoSYtHcdb1Y1Z+Ck77U7dPznj7tXHzhL&#10;KFwvjHfQ8RMkfrN9+WIzhjW0fvCmh8ioiEvrMXR8QAzrqkpyACvSygdwdKh8tAJpGw9VH8VI1a2p&#10;2rp+V40+9iF6CSlR9HY+5NtSXymQ+FWpBMhMx4kbljWW9T6v1XYj1ocowqDlmYZ4AgsrtKOmS6lb&#10;gYL9ivqvUlbL6JNXuJLeVl4pLaFoIDVN/UjN90EEKFrInBQWm9LzlZVfjvvIdE93RzflhKU72nnn&#10;ANFHYC2jMHk0hrSm1J3bx/MuhX3MgicVbf6SFDYVX0+LrzAhk3NQUrRp2zd1XTyvrsAQE34Cb1n+&#10;6XjCKPRhwEJCEomm+CqOnxNSawJeALmrcWzs+Ovm/duSlbzR/Z02Jp+VGYKdiewo6PZxarISKvAg&#10;C4U2H13P8BRIOkYt3MHAOdM4AmTts9ryhycDc+tvoMg50jdTfNRPSAkOLz2No+wMU8RuAdYz6zzs&#10;V6IPgef8DIUyz/8DXhCls3e4gK12Pv6r+9UmNedfHJh1ZwvufX8qc1CsocEsrp4fUZ78P/cFfn3q&#10;298AAAD//wMAUEsDBBQABgAIAAAAIQAv+ITM2wAAAAoBAAAPAAAAZHJzL2Rvd25yZXYueG1sTE9N&#10;S8NAEL0L/odlBG920yIlxGyKCIqHghhrz9Nkkg1mZ0N200Z/vVMv9jTzZh7vI9/MrldHGkPn2cBy&#10;kYAirnzdcWtg9/F8l4IKEbnG3jMZ+KYAm+L6Kses9id+p2MZWyUiHDI0YGMcMq1DZclhWPiBWH6N&#10;Hx1GgWOr6xFPIu56vUqStXbYsThYHOjJUvVVTs5AV1pqyv1256ef15e93jb4ad+Mub2ZHx9ARZrj&#10;PxnO8SU6FJLp4Ceug+oF3y+lS5RlLfNM+DscDKySNAVd5PqyQvELAAD//wMAUEsBAi0AFAAGAAgA&#10;AAAhALaDOJL+AAAA4QEAABMAAAAAAAAAAAAAAAAAAAAAAFtDb250ZW50X1R5cGVzXS54bWxQSwEC&#10;LQAUAAYACAAAACEAOP0h/9YAAACUAQAACwAAAAAAAAAAAAAAAAAvAQAAX3JlbHMvLnJlbHNQSwEC&#10;LQAUAAYACAAAACEA3sEV6+oBAAAyBAAADgAAAAAAAAAAAAAAAAAuAgAAZHJzL2Uyb0RvYy54bWxQ&#10;SwECLQAUAAYACAAAACEAL/iEzNsAAAAKAQAADwAAAAAAAAAAAAAAAABEBAAAZHJzL2Rvd25yZXYu&#10;eG1sUEsFBgAAAAAEAAQA8wAAAEwFAAAAAA==&#10;" strokecolor="black [3213]" strokeweight=".25pt">
                <v:stroke endarrow="block"/>
              </v:shape>
            </w:pict>
          </mc:Fallback>
        </mc:AlternateContent>
      </w:r>
    </w:p>
    <w:p w14:paraId="25CB1B4A" w14:textId="77777777" w:rsidR="00F92D32" w:rsidRDefault="00F92D32" w:rsidP="00AD4B58">
      <w:pPr>
        <w:suppressAutoHyphens/>
        <w:rPr>
          <w:noProof/>
          <w:szCs w:val="22"/>
          <w:u w:val="single"/>
        </w:rPr>
      </w:pPr>
    </w:p>
    <w:p w14:paraId="7BE2B2AE" w14:textId="77777777" w:rsidR="00F92D32" w:rsidRDefault="00F92D32" w:rsidP="00AD4B58">
      <w:pPr>
        <w:suppressAutoHyphens/>
        <w:rPr>
          <w:noProof/>
          <w:szCs w:val="22"/>
          <w:u w:val="single"/>
        </w:rPr>
      </w:pPr>
    </w:p>
    <w:p w14:paraId="42EDC462" w14:textId="77777777" w:rsidR="00F92D32" w:rsidRDefault="00F92D32" w:rsidP="00AD4B58">
      <w:pPr>
        <w:suppressAutoHyphens/>
        <w:rPr>
          <w:noProof/>
          <w:szCs w:val="22"/>
          <w:u w:val="single"/>
        </w:rPr>
      </w:pPr>
    </w:p>
    <w:p w14:paraId="3693B127" w14:textId="77777777" w:rsidR="00F92D32" w:rsidRDefault="00F92D32" w:rsidP="00AD4B58">
      <w:pPr>
        <w:suppressAutoHyphens/>
        <w:rPr>
          <w:noProof/>
          <w:szCs w:val="22"/>
          <w:u w:val="single"/>
        </w:rPr>
      </w:pPr>
    </w:p>
    <w:p w14:paraId="5AFFFEEE" w14:textId="77777777" w:rsidR="00F92D32" w:rsidRDefault="00F92D32" w:rsidP="00AD4B58">
      <w:pPr>
        <w:suppressAutoHyphens/>
        <w:rPr>
          <w:noProof/>
          <w:szCs w:val="22"/>
          <w:u w:val="single"/>
        </w:rPr>
      </w:pPr>
    </w:p>
    <w:p w14:paraId="29E3E188" w14:textId="77777777" w:rsidR="00F92D32" w:rsidRDefault="00F92D32" w:rsidP="00AD4B58">
      <w:pPr>
        <w:suppressAutoHyphens/>
        <w:rPr>
          <w:noProof/>
          <w:szCs w:val="22"/>
          <w:u w:val="single"/>
        </w:rPr>
      </w:pPr>
    </w:p>
    <w:p w14:paraId="264FD58E" w14:textId="77777777" w:rsidR="00F92D32" w:rsidRDefault="003908D9" w:rsidP="00AD4B58">
      <w:pPr>
        <w:suppressAutoHyphens/>
        <w:rPr>
          <w:noProof/>
          <w:szCs w:val="22"/>
          <w:u w:val="single"/>
        </w:rPr>
      </w:pPr>
      <w:r>
        <w:rPr>
          <w:noProof/>
          <w:lang w:eastAsia="it-IT"/>
        </w:rPr>
        <mc:AlternateContent>
          <mc:Choice Requires="wps">
            <w:drawing>
              <wp:anchor distT="0" distB="0" distL="114300" distR="114300" simplePos="0" relativeHeight="251678720" behindDoc="0" locked="0" layoutInCell="1" allowOverlap="1" wp14:anchorId="160379FD" wp14:editId="1E6BA3FF">
                <wp:simplePos x="0" y="0"/>
                <wp:positionH relativeFrom="column">
                  <wp:posOffset>4705350</wp:posOffset>
                </wp:positionH>
                <wp:positionV relativeFrom="paragraph">
                  <wp:posOffset>13335</wp:posOffset>
                </wp:positionV>
                <wp:extent cx="0" cy="257175"/>
                <wp:effectExtent l="0" t="0" r="0" b="0"/>
                <wp:wrapNone/>
                <wp:docPr id="22" name="Connettore 2 22"/>
                <wp:cNvGraphicFramePr/>
                <a:graphic xmlns:a="http://schemas.openxmlformats.org/drawingml/2006/main">
                  <a:graphicData uri="http://schemas.microsoft.com/office/word/2010/wordprocessingShape">
                    <wps:wsp>
                      <wps:cNvCnPr/>
                      <wps:spPr>
                        <a:xfrm>
                          <a:off x="0" y="0"/>
                          <a:ext cx="0" cy="2571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C06DE7" id="Connettore 2 22" o:spid="_x0000_s1026" type="#_x0000_t32" style="position:absolute;margin-left:370.5pt;margin-top:1.05pt;width:0;height:20.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2K5wEAADEEAAAOAAAAZHJzL2Uyb0RvYy54bWysU02P0zAQvSPxHyzfadKgZVHVdA9dlguC&#10;io8f4HXGiSV/yR6a9t8zdtKUAhcQFydjz5t573m8fThZw44Qk/au5etVzRk46Tvt+pZ/+/r06i1n&#10;CYXrhPEOWn6GxB92L19sx7CBxg/edBAZFXFpM4aWD4hhU1VJDmBFWvkAjg6Vj1YghbGvuihGqm5N&#10;1dT1m2r0sQvRS0iJdh+nQ74r9ZUCiZ+USoDMtJy4YVljWZ/zWu22YtNHEQYtZxriH1hYoR01XUo9&#10;ChTse9S/lbJaRp+8wpX0tvJKaQlFA6lZ17+o+TKIAEULmZPCYlP6f2Xlx+MhMt21vGk4c8LSHe29&#10;c4DoI7CG0TZ5NIa0odS9O8Q5SuEQs+CTijZ/SQo7FV/Pi69wQianTUm7zd39+v4ul6uuuBATvgdv&#10;Wf5pecIodD9g4SCJw7rYKo4fEk7ACyA3NY6NLX+dq+YweaO7J21MCfIIwd5EdhR0+Xhaz51vslBo&#10;8851DM+BlGPUwvUG5kzjiGqWPoktf3g2MLX+DIqMI3kTxTKy135CSnB46WkcZWeYInYLsJ5Y3xK9&#10;Bc75GQplnP8GvCBKZ+9wAVvtfPxT96tNasq/ODDpzhY8++5cxqBYQ3NZ7nN+Q3nwf44L/PrSdz8A&#10;AAD//wMAUEsDBBQABgAIAAAAIQARMqDh3AAAAAgBAAAPAAAAZHJzL2Rvd25yZXYueG1sTI9BS8NA&#10;FITvgv9heQVvdpNQqsS8lCIoHgpiWnveZl+ywezbkN200V/vigc9DjPMfFNsZtuLM42+c4yQLhMQ&#10;xLXTHbcIh/3T7T0IHxRr1TsmhE/ysCmvrwqVa3fhNzpXoRWxhH2uEEwIQy6lrw1Z5ZduII5e40ar&#10;QpRjK/WoLrHc9jJLkrW0quO4YNRAj4bqj2qyCF1lqKmOu4Obvl6ej3LXqHfzinizmLcPIALN4S8M&#10;P/gRHcrIdHITay96hLtVGr8EhCwFEf1ffUJYZWuQZSH/Hyi/AQAA//8DAFBLAQItABQABgAIAAAA&#10;IQC2gziS/gAAAOEBAAATAAAAAAAAAAAAAAAAAAAAAABbQ29udGVudF9UeXBlc10ueG1sUEsBAi0A&#10;FAAGAAgAAAAhADj9If/WAAAAlAEAAAsAAAAAAAAAAAAAAAAALwEAAF9yZWxzLy5yZWxzUEsBAi0A&#10;FAAGAAgAAAAhANI5TYrnAQAAMQQAAA4AAAAAAAAAAAAAAAAALgIAAGRycy9lMm9Eb2MueG1sUEsB&#10;Ai0AFAAGAAgAAAAhABEyoOHcAAAACAEAAA8AAAAAAAAAAAAAAAAAQQQAAGRycy9kb3ducmV2Lnht&#10;bFBLBQYAAAAABAAEAPMAAABKBQAAAAA=&#10;" strokecolor="black [3213]" strokeweight=".25pt">
                <v:stroke endarrow="block"/>
              </v:shape>
            </w:pict>
          </mc:Fallback>
        </mc:AlternateContent>
      </w:r>
    </w:p>
    <w:p w14:paraId="5FC0766F" w14:textId="77777777" w:rsidR="00F92D32" w:rsidRDefault="00F92D32" w:rsidP="00AD4B58">
      <w:pPr>
        <w:suppressAutoHyphens/>
        <w:rPr>
          <w:noProof/>
          <w:szCs w:val="22"/>
          <w:u w:val="single"/>
        </w:rPr>
      </w:pPr>
    </w:p>
    <w:p w14:paraId="758C75F5" w14:textId="77777777" w:rsidR="00F92D32" w:rsidRDefault="00F92D32" w:rsidP="00AD4B58">
      <w:pPr>
        <w:suppressAutoHyphens/>
        <w:rPr>
          <w:noProof/>
          <w:szCs w:val="22"/>
          <w:u w:val="single"/>
        </w:rPr>
      </w:pPr>
    </w:p>
    <w:p w14:paraId="28963EF4" w14:textId="77777777" w:rsidR="00F92D32" w:rsidRDefault="00F92D32" w:rsidP="00AD4B58">
      <w:pPr>
        <w:suppressAutoHyphens/>
        <w:rPr>
          <w:noProof/>
          <w:szCs w:val="22"/>
          <w:u w:val="single"/>
        </w:rPr>
      </w:pPr>
    </w:p>
    <w:p w14:paraId="26F9CF5D" w14:textId="77777777" w:rsidR="00F92D32" w:rsidRDefault="00F92D32" w:rsidP="00AD4B58">
      <w:pPr>
        <w:suppressAutoHyphens/>
        <w:rPr>
          <w:noProof/>
          <w:szCs w:val="22"/>
          <w:u w:val="single"/>
        </w:rPr>
      </w:pPr>
    </w:p>
    <w:p w14:paraId="5894E984" w14:textId="77777777" w:rsidR="00F92D32" w:rsidRDefault="00F92D32" w:rsidP="00AD4B58">
      <w:pPr>
        <w:suppressAutoHyphens/>
        <w:rPr>
          <w:noProof/>
          <w:szCs w:val="22"/>
          <w:u w:val="single"/>
        </w:rPr>
      </w:pPr>
    </w:p>
    <w:p w14:paraId="63CF58C6" w14:textId="77777777" w:rsidR="00F92D32" w:rsidRDefault="00F92D32" w:rsidP="00AD4B58">
      <w:pPr>
        <w:suppressAutoHyphens/>
        <w:rPr>
          <w:noProof/>
          <w:szCs w:val="22"/>
          <w:u w:val="single"/>
        </w:rPr>
      </w:pPr>
    </w:p>
    <w:p w14:paraId="248D8C62" w14:textId="77777777" w:rsidR="00F92D32" w:rsidRDefault="00F92D32" w:rsidP="00AD4B58">
      <w:pPr>
        <w:suppressAutoHyphens/>
        <w:rPr>
          <w:noProof/>
          <w:szCs w:val="22"/>
          <w:u w:val="single"/>
        </w:rPr>
      </w:pPr>
    </w:p>
    <w:p w14:paraId="654F4705" w14:textId="77777777" w:rsidR="00F92D32" w:rsidRDefault="00F92D32" w:rsidP="00AD4B58">
      <w:pPr>
        <w:suppressAutoHyphens/>
        <w:rPr>
          <w:noProof/>
          <w:szCs w:val="22"/>
          <w:u w:val="single"/>
        </w:rPr>
      </w:pPr>
    </w:p>
    <w:p w14:paraId="2D64663B" w14:textId="77777777" w:rsidR="00F92D32" w:rsidRDefault="00F92D32" w:rsidP="00AD4B58">
      <w:pPr>
        <w:suppressAutoHyphens/>
        <w:rPr>
          <w:noProof/>
          <w:szCs w:val="22"/>
          <w:u w:val="single"/>
        </w:rPr>
      </w:pPr>
    </w:p>
    <w:tbl>
      <w:tblPr>
        <w:tblStyle w:val="Grigliatabella"/>
        <w:tblW w:w="0" w:type="auto"/>
        <w:tblLook w:val="04A0" w:firstRow="1" w:lastRow="0" w:firstColumn="1" w:lastColumn="0" w:noHBand="0" w:noVBand="1"/>
      </w:tblPr>
      <w:tblGrid>
        <w:gridCol w:w="4530"/>
        <w:gridCol w:w="4531"/>
      </w:tblGrid>
      <w:tr w:rsidR="002D2FE7" w14:paraId="4381074A" w14:textId="77777777" w:rsidTr="002D2FE7">
        <w:tc>
          <w:tcPr>
            <w:tcW w:w="4530" w:type="dxa"/>
          </w:tcPr>
          <w:p w14:paraId="7FB2AFFC" w14:textId="203A5541" w:rsidR="002D2FE7" w:rsidRPr="002D2FE7" w:rsidRDefault="002D2FE7" w:rsidP="002D2FE7">
            <w:pPr>
              <w:suppressAutoHyphens/>
              <w:rPr>
                <w:noProof/>
                <w:szCs w:val="22"/>
              </w:rPr>
            </w:pPr>
            <w:r w:rsidRPr="002D2FE7">
              <w:rPr>
                <w:noProof/>
                <w:szCs w:val="22"/>
              </w:rPr>
              <w:t>Dosaggio (mic</w:t>
            </w:r>
            <w:r>
              <w:rPr>
                <w:noProof/>
                <w:szCs w:val="22"/>
              </w:rPr>
              <w:t xml:space="preserve">rogrammi) della prima compressa </w:t>
            </w:r>
            <w:r w:rsidRPr="002D2FE7">
              <w:rPr>
                <w:noProof/>
                <w:szCs w:val="22"/>
              </w:rPr>
              <w:t xml:space="preserve">sublinguale per </w:t>
            </w:r>
            <w:r w:rsidR="00EE3D92">
              <w:rPr>
                <w:noProof/>
                <w:szCs w:val="22"/>
              </w:rPr>
              <w:t>manifestazione</w:t>
            </w:r>
            <w:r w:rsidR="00EE3D92" w:rsidRPr="002D2FE7">
              <w:rPr>
                <w:noProof/>
                <w:szCs w:val="22"/>
              </w:rPr>
              <w:t xml:space="preserve"> </w:t>
            </w:r>
            <w:r w:rsidRPr="002D2FE7">
              <w:rPr>
                <w:noProof/>
                <w:szCs w:val="22"/>
              </w:rPr>
              <w:t>di dolore episodico</w:t>
            </w:r>
            <w:r>
              <w:rPr>
                <w:noProof/>
                <w:szCs w:val="22"/>
              </w:rPr>
              <w:t xml:space="preserve"> </w:t>
            </w:r>
            <w:r w:rsidRPr="002D2FE7">
              <w:rPr>
                <w:noProof/>
                <w:szCs w:val="22"/>
              </w:rPr>
              <w:t>intenso</w:t>
            </w:r>
          </w:p>
        </w:tc>
        <w:tc>
          <w:tcPr>
            <w:tcW w:w="4531" w:type="dxa"/>
          </w:tcPr>
          <w:p w14:paraId="05164C7D" w14:textId="113D4603" w:rsidR="002D2FE7" w:rsidRPr="00190306" w:rsidRDefault="002D2FE7" w:rsidP="00C968F8">
            <w:pPr>
              <w:suppressAutoHyphens/>
              <w:rPr>
                <w:noProof/>
                <w:szCs w:val="22"/>
              </w:rPr>
            </w:pPr>
            <w:r w:rsidRPr="002D2FE7">
              <w:rPr>
                <w:noProof/>
                <w:szCs w:val="22"/>
              </w:rPr>
              <w:t>Dosaggi</w:t>
            </w:r>
            <w:r w:rsidR="00190306">
              <w:rPr>
                <w:noProof/>
                <w:szCs w:val="22"/>
              </w:rPr>
              <w:t xml:space="preserve">o (microgrammi) della compressa </w:t>
            </w:r>
            <w:r w:rsidRPr="002D2FE7">
              <w:rPr>
                <w:noProof/>
                <w:szCs w:val="22"/>
              </w:rPr>
              <w:t>sublinguale supplementare (seconda) da</w:t>
            </w:r>
            <w:r w:rsidR="00190306">
              <w:rPr>
                <w:noProof/>
                <w:szCs w:val="22"/>
              </w:rPr>
              <w:t xml:space="preserve"> </w:t>
            </w:r>
            <w:r w:rsidRPr="002D2FE7">
              <w:rPr>
                <w:noProof/>
                <w:szCs w:val="22"/>
              </w:rPr>
              <w:t>assumere 15</w:t>
            </w:r>
            <w:r w:rsidR="00FB4898">
              <w:rPr>
                <w:noProof/>
                <w:szCs w:val="22"/>
              </w:rPr>
              <w:noBreakHyphen/>
            </w:r>
            <w:r w:rsidRPr="002D2FE7">
              <w:rPr>
                <w:noProof/>
                <w:szCs w:val="22"/>
              </w:rPr>
              <w:t>30</w:t>
            </w:r>
            <w:r w:rsidR="00FB4898">
              <w:rPr>
                <w:noProof/>
                <w:szCs w:val="22"/>
              </w:rPr>
              <w:t> </w:t>
            </w:r>
            <w:r w:rsidRPr="002D2FE7">
              <w:rPr>
                <w:noProof/>
                <w:szCs w:val="22"/>
              </w:rPr>
              <w:t>minuti dopo la prima</w:t>
            </w:r>
            <w:r w:rsidR="00190306">
              <w:rPr>
                <w:noProof/>
                <w:szCs w:val="22"/>
              </w:rPr>
              <w:t xml:space="preserve"> </w:t>
            </w:r>
            <w:r w:rsidRPr="002D2FE7">
              <w:rPr>
                <w:noProof/>
                <w:szCs w:val="22"/>
              </w:rPr>
              <w:t>compressa, se richiesto</w:t>
            </w:r>
          </w:p>
        </w:tc>
      </w:tr>
      <w:tr w:rsidR="002D2FE7" w14:paraId="76FDC04C" w14:textId="77777777" w:rsidTr="002D2FE7">
        <w:tc>
          <w:tcPr>
            <w:tcW w:w="4530" w:type="dxa"/>
          </w:tcPr>
          <w:p w14:paraId="48017E58" w14:textId="19DD228A" w:rsidR="002D2FE7" w:rsidRPr="00F00F4D" w:rsidRDefault="00F00F4D" w:rsidP="00F00F4D">
            <w:pPr>
              <w:suppressAutoHyphens/>
              <w:jc w:val="center"/>
              <w:rPr>
                <w:noProof/>
                <w:szCs w:val="22"/>
              </w:rPr>
            </w:pPr>
            <w:r w:rsidRPr="00F00F4D">
              <w:rPr>
                <w:noProof/>
                <w:szCs w:val="22"/>
              </w:rPr>
              <w:t>100</w:t>
            </w:r>
          </w:p>
        </w:tc>
        <w:tc>
          <w:tcPr>
            <w:tcW w:w="4531" w:type="dxa"/>
          </w:tcPr>
          <w:p w14:paraId="7C58D559" w14:textId="77777777" w:rsidR="002D2FE7" w:rsidRPr="00F00F4D" w:rsidRDefault="00F00F4D" w:rsidP="00F00F4D">
            <w:pPr>
              <w:suppressAutoHyphens/>
              <w:jc w:val="center"/>
              <w:rPr>
                <w:noProof/>
                <w:szCs w:val="22"/>
              </w:rPr>
            </w:pPr>
            <w:r>
              <w:rPr>
                <w:noProof/>
                <w:szCs w:val="22"/>
              </w:rPr>
              <w:t>100</w:t>
            </w:r>
          </w:p>
        </w:tc>
      </w:tr>
      <w:tr w:rsidR="002D2FE7" w14:paraId="145360F3" w14:textId="77777777" w:rsidTr="002D2FE7">
        <w:tc>
          <w:tcPr>
            <w:tcW w:w="4530" w:type="dxa"/>
          </w:tcPr>
          <w:p w14:paraId="7FC7254F" w14:textId="77777777" w:rsidR="002D2FE7" w:rsidRPr="00F00F4D" w:rsidRDefault="00F00F4D" w:rsidP="00F00F4D">
            <w:pPr>
              <w:suppressAutoHyphens/>
              <w:jc w:val="center"/>
              <w:rPr>
                <w:noProof/>
                <w:szCs w:val="22"/>
              </w:rPr>
            </w:pPr>
            <w:r>
              <w:rPr>
                <w:noProof/>
                <w:szCs w:val="22"/>
              </w:rPr>
              <w:t>200</w:t>
            </w:r>
          </w:p>
        </w:tc>
        <w:tc>
          <w:tcPr>
            <w:tcW w:w="4531" w:type="dxa"/>
          </w:tcPr>
          <w:p w14:paraId="15EF31BA" w14:textId="77777777" w:rsidR="002D2FE7" w:rsidRPr="00F00F4D" w:rsidRDefault="00F00F4D" w:rsidP="00F00F4D">
            <w:pPr>
              <w:suppressAutoHyphens/>
              <w:jc w:val="center"/>
              <w:rPr>
                <w:noProof/>
                <w:szCs w:val="22"/>
              </w:rPr>
            </w:pPr>
            <w:r>
              <w:rPr>
                <w:noProof/>
                <w:szCs w:val="22"/>
              </w:rPr>
              <w:t>100</w:t>
            </w:r>
          </w:p>
        </w:tc>
      </w:tr>
      <w:tr w:rsidR="002D2FE7" w14:paraId="404F3E45" w14:textId="77777777" w:rsidTr="002D2FE7">
        <w:tc>
          <w:tcPr>
            <w:tcW w:w="4530" w:type="dxa"/>
          </w:tcPr>
          <w:p w14:paraId="5DBAFC7A" w14:textId="77777777" w:rsidR="002D2FE7" w:rsidRPr="00F00F4D" w:rsidRDefault="00F00F4D" w:rsidP="00F00F4D">
            <w:pPr>
              <w:suppressAutoHyphens/>
              <w:jc w:val="center"/>
              <w:rPr>
                <w:noProof/>
                <w:szCs w:val="22"/>
              </w:rPr>
            </w:pPr>
            <w:r>
              <w:rPr>
                <w:noProof/>
                <w:szCs w:val="22"/>
              </w:rPr>
              <w:t>300</w:t>
            </w:r>
          </w:p>
        </w:tc>
        <w:tc>
          <w:tcPr>
            <w:tcW w:w="4531" w:type="dxa"/>
          </w:tcPr>
          <w:p w14:paraId="6974C8FB" w14:textId="77777777" w:rsidR="002D2FE7" w:rsidRPr="00F00F4D" w:rsidRDefault="00F00F4D" w:rsidP="00F00F4D">
            <w:pPr>
              <w:suppressAutoHyphens/>
              <w:jc w:val="center"/>
              <w:rPr>
                <w:noProof/>
                <w:szCs w:val="22"/>
              </w:rPr>
            </w:pPr>
            <w:r>
              <w:rPr>
                <w:noProof/>
                <w:szCs w:val="22"/>
              </w:rPr>
              <w:t>100</w:t>
            </w:r>
          </w:p>
        </w:tc>
      </w:tr>
      <w:tr w:rsidR="002D2FE7" w14:paraId="21362B46" w14:textId="77777777" w:rsidTr="002D2FE7">
        <w:tc>
          <w:tcPr>
            <w:tcW w:w="4530" w:type="dxa"/>
          </w:tcPr>
          <w:p w14:paraId="3B14A4EC" w14:textId="77777777" w:rsidR="002D2FE7" w:rsidRPr="00F00F4D" w:rsidRDefault="00F00F4D" w:rsidP="00F00F4D">
            <w:pPr>
              <w:suppressAutoHyphens/>
              <w:jc w:val="center"/>
              <w:rPr>
                <w:noProof/>
                <w:szCs w:val="22"/>
              </w:rPr>
            </w:pPr>
            <w:r>
              <w:rPr>
                <w:noProof/>
                <w:szCs w:val="22"/>
              </w:rPr>
              <w:t>400</w:t>
            </w:r>
          </w:p>
        </w:tc>
        <w:tc>
          <w:tcPr>
            <w:tcW w:w="4531" w:type="dxa"/>
          </w:tcPr>
          <w:p w14:paraId="2207D2FE" w14:textId="77777777" w:rsidR="002D2FE7" w:rsidRPr="00F00F4D" w:rsidRDefault="00F00F4D" w:rsidP="00F00F4D">
            <w:pPr>
              <w:suppressAutoHyphens/>
              <w:jc w:val="center"/>
              <w:rPr>
                <w:noProof/>
                <w:szCs w:val="22"/>
              </w:rPr>
            </w:pPr>
            <w:r>
              <w:rPr>
                <w:noProof/>
                <w:szCs w:val="22"/>
              </w:rPr>
              <w:t>200</w:t>
            </w:r>
          </w:p>
        </w:tc>
      </w:tr>
      <w:tr w:rsidR="002D2FE7" w14:paraId="1FACF03E" w14:textId="77777777" w:rsidTr="002D2FE7">
        <w:tc>
          <w:tcPr>
            <w:tcW w:w="4530" w:type="dxa"/>
          </w:tcPr>
          <w:p w14:paraId="3626DD78" w14:textId="77777777" w:rsidR="002D2FE7" w:rsidRPr="00F00F4D" w:rsidRDefault="00F00F4D" w:rsidP="00F00F4D">
            <w:pPr>
              <w:suppressAutoHyphens/>
              <w:jc w:val="center"/>
              <w:rPr>
                <w:noProof/>
                <w:szCs w:val="22"/>
              </w:rPr>
            </w:pPr>
            <w:r>
              <w:rPr>
                <w:noProof/>
                <w:szCs w:val="22"/>
              </w:rPr>
              <w:t>600</w:t>
            </w:r>
          </w:p>
        </w:tc>
        <w:tc>
          <w:tcPr>
            <w:tcW w:w="4531" w:type="dxa"/>
          </w:tcPr>
          <w:p w14:paraId="0C0B118C" w14:textId="77777777" w:rsidR="002D2FE7" w:rsidRPr="00F00F4D" w:rsidRDefault="00F00F4D" w:rsidP="00F00F4D">
            <w:pPr>
              <w:suppressAutoHyphens/>
              <w:jc w:val="center"/>
              <w:rPr>
                <w:noProof/>
                <w:szCs w:val="22"/>
              </w:rPr>
            </w:pPr>
            <w:r>
              <w:rPr>
                <w:noProof/>
                <w:szCs w:val="22"/>
              </w:rPr>
              <w:t>200</w:t>
            </w:r>
          </w:p>
        </w:tc>
      </w:tr>
      <w:tr w:rsidR="00F00F4D" w14:paraId="67F61CD9" w14:textId="77777777" w:rsidTr="00EE3D92">
        <w:tc>
          <w:tcPr>
            <w:tcW w:w="4530" w:type="dxa"/>
          </w:tcPr>
          <w:p w14:paraId="48893FD5" w14:textId="77777777" w:rsidR="00F00F4D" w:rsidRPr="00F00F4D" w:rsidRDefault="00F00F4D" w:rsidP="00F00F4D">
            <w:pPr>
              <w:suppressAutoHyphens/>
              <w:jc w:val="center"/>
              <w:rPr>
                <w:noProof/>
                <w:szCs w:val="22"/>
              </w:rPr>
            </w:pPr>
            <w:r>
              <w:rPr>
                <w:noProof/>
                <w:szCs w:val="22"/>
              </w:rPr>
              <w:t>800</w:t>
            </w:r>
          </w:p>
        </w:tc>
        <w:tc>
          <w:tcPr>
            <w:tcW w:w="4531" w:type="dxa"/>
          </w:tcPr>
          <w:p w14:paraId="5462A8E4" w14:textId="77777777" w:rsidR="00F00F4D" w:rsidRDefault="00F00F4D" w:rsidP="00F00F4D">
            <w:pPr>
              <w:suppressAutoHyphens/>
              <w:jc w:val="center"/>
              <w:rPr>
                <w:noProof/>
                <w:szCs w:val="22"/>
              </w:rPr>
            </w:pPr>
            <w:r>
              <w:rPr>
                <w:noProof/>
                <w:szCs w:val="22"/>
              </w:rPr>
              <w:t>-</w:t>
            </w:r>
          </w:p>
        </w:tc>
      </w:tr>
    </w:tbl>
    <w:p w14:paraId="67BDB1DB" w14:textId="77777777" w:rsidR="002D2FE7" w:rsidRDefault="002D2FE7" w:rsidP="00AD4B58">
      <w:pPr>
        <w:suppressAutoHyphens/>
        <w:rPr>
          <w:noProof/>
          <w:szCs w:val="22"/>
          <w:u w:val="single"/>
        </w:rPr>
      </w:pPr>
    </w:p>
    <w:p w14:paraId="735D1684" w14:textId="77777777" w:rsidR="002D2FE7" w:rsidRDefault="002D2FE7" w:rsidP="00AD4B58">
      <w:pPr>
        <w:suppressAutoHyphens/>
        <w:rPr>
          <w:noProof/>
          <w:szCs w:val="22"/>
          <w:u w:val="single"/>
        </w:rPr>
      </w:pPr>
    </w:p>
    <w:p w14:paraId="5535BEBD" w14:textId="76B3A127" w:rsidR="00947F97" w:rsidRDefault="00947F97" w:rsidP="00947F97">
      <w:pPr>
        <w:suppressAutoHyphens/>
        <w:rPr>
          <w:noProof/>
          <w:szCs w:val="22"/>
        </w:rPr>
      </w:pPr>
      <w:r>
        <w:rPr>
          <w:noProof/>
          <w:szCs w:val="22"/>
        </w:rPr>
        <w:t>Se si ottiene un</w:t>
      </w:r>
      <w:r w:rsidR="00393B71">
        <w:rPr>
          <w:noProof/>
          <w:szCs w:val="22"/>
        </w:rPr>
        <w:t>’</w:t>
      </w:r>
      <w:r w:rsidRPr="00947F97">
        <w:rPr>
          <w:noProof/>
          <w:szCs w:val="22"/>
        </w:rPr>
        <w:t>adeguata analgesia alla dose più alta, ma gli effetti indesiderati si considerano</w:t>
      </w:r>
      <w:r>
        <w:rPr>
          <w:noProof/>
          <w:szCs w:val="22"/>
        </w:rPr>
        <w:t xml:space="preserve"> </w:t>
      </w:r>
      <w:r w:rsidRPr="00947F97">
        <w:rPr>
          <w:noProof/>
          <w:szCs w:val="22"/>
        </w:rPr>
        <w:t>inaccettabili, si può somministrare una dose intermedia (usando la compressa sublinguale da 100</w:t>
      </w:r>
      <w:r w:rsidR="00FB4898">
        <w:rPr>
          <w:noProof/>
          <w:szCs w:val="22"/>
        </w:rPr>
        <w:t> </w:t>
      </w:r>
      <w:r w:rsidRPr="00947F97">
        <w:rPr>
          <w:noProof/>
          <w:szCs w:val="22"/>
        </w:rPr>
        <w:t>microgrammi, secondo necessità).</w:t>
      </w:r>
    </w:p>
    <w:p w14:paraId="09E32B03" w14:textId="77777777" w:rsidR="00947F97" w:rsidRPr="00947F97" w:rsidRDefault="00947F97" w:rsidP="00947F97">
      <w:pPr>
        <w:suppressAutoHyphens/>
        <w:rPr>
          <w:noProof/>
          <w:szCs w:val="22"/>
        </w:rPr>
      </w:pPr>
    </w:p>
    <w:p w14:paraId="6AF5B71A" w14:textId="28E7BD81" w:rsidR="00947F97" w:rsidRDefault="00947F97" w:rsidP="00947F97">
      <w:pPr>
        <w:suppressAutoHyphens/>
        <w:rPr>
          <w:noProof/>
          <w:szCs w:val="22"/>
        </w:rPr>
      </w:pPr>
      <w:r w:rsidRPr="00947F97">
        <w:rPr>
          <w:noProof/>
          <w:szCs w:val="22"/>
        </w:rPr>
        <w:t>Durante la titolazione</w:t>
      </w:r>
      <w:r>
        <w:rPr>
          <w:noProof/>
          <w:szCs w:val="22"/>
        </w:rPr>
        <w:t>,</w:t>
      </w:r>
      <w:r w:rsidRPr="00947F97">
        <w:rPr>
          <w:noProof/>
          <w:szCs w:val="22"/>
        </w:rPr>
        <w:t xml:space="preserve"> ai pazienti può essere indicato di assumere multipli delle compresse da 100</w:t>
      </w:r>
      <w:r w:rsidR="00FB4898">
        <w:rPr>
          <w:noProof/>
          <w:szCs w:val="22"/>
        </w:rPr>
        <w:t> </w:t>
      </w:r>
      <w:r w:rsidRPr="00947F97">
        <w:rPr>
          <w:noProof/>
          <w:szCs w:val="22"/>
        </w:rPr>
        <w:t>microgrammi e/o da 200</w:t>
      </w:r>
      <w:r w:rsidR="00FB4898">
        <w:rPr>
          <w:noProof/>
          <w:szCs w:val="22"/>
        </w:rPr>
        <w:t> </w:t>
      </w:r>
      <w:r w:rsidRPr="00947F97">
        <w:rPr>
          <w:noProof/>
          <w:szCs w:val="22"/>
        </w:rPr>
        <w:t>microgrammi per qualsiasi dose singola. Non si devono mai usare più di</w:t>
      </w:r>
      <w:r w:rsidR="001F4431">
        <w:rPr>
          <w:noProof/>
          <w:szCs w:val="22"/>
        </w:rPr>
        <w:t xml:space="preserve"> </w:t>
      </w:r>
      <w:r w:rsidRPr="00947F97">
        <w:rPr>
          <w:noProof/>
          <w:szCs w:val="22"/>
        </w:rPr>
        <w:t>quattro (4) compresse alla volta.</w:t>
      </w:r>
    </w:p>
    <w:p w14:paraId="6F7E564E" w14:textId="77777777" w:rsidR="00947F97" w:rsidRPr="00947F97" w:rsidRDefault="00947F97" w:rsidP="00947F97">
      <w:pPr>
        <w:suppressAutoHyphens/>
        <w:rPr>
          <w:noProof/>
          <w:szCs w:val="22"/>
        </w:rPr>
      </w:pPr>
    </w:p>
    <w:p w14:paraId="5CC1E3E6" w14:textId="5D5DCC3D" w:rsidR="00947F97" w:rsidRDefault="00947F97" w:rsidP="00947F97">
      <w:pPr>
        <w:suppressAutoHyphens/>
        <w:rPr>
          <w:noProof/>
          <w:szCs w:val="22"/>
        </w:rPr>
      </w:pPr>
      <w:r w:rsidRPr="00947F97">
        <w:rPr>
          <w:noProof/>
          <w:szCs w:val="22"/>
        </w:rPr>
        <w:t>L</w:t>
      </w:r>
      <w:r w:rsidR="00393B71">
        <w:rPr>
          <w:noProof/>
          <w:szCs w:val="22"/>
        </w:rPr>
        <w:t>’</w:t>
      </w:r>
      <w:r w:rsidRPr="00947F97">
        <w:rPr>
          <w:noProof/>
          <w:szCs w:val="22"/>
        </w:rPr>
        <w:t>efficacia e la sicurezza di dosi superiori a 800</w:t>
      </w:r>
      <w:r w:rsidR="00FB4898">
        <w:t> </w:t>
      </w:r>
      <w:r w:rsidRPr="00947F97">
        <w:rPr>
          <w:noProof/>
          <w:szCs w:val="22"/>
        </w:rPr>
        <w:t>microgrammi non sono state valutate in studi clinici</w:t>
      </w:r>
      <w:r w:rsidR="001F4431">
        <w:rPr>
          <w:noProof/>
          <w:szCs w:val="22"/>
        </w:rPr>
        <w:t xml:space="preserve"> </w:t>
      </w:r>
      <w:r w:rsidRPr="00947F97">
        <w:rPr>
          <w:noProof/>
          <w:szCs w:val="22"/>
        </w:rPr>
        <w:t>su pazienti.</w:t>
      </w:r>
    </w:p>
    <w:p w14:paraId="1550C83F" w14:textId="77777777" w:rsidR="001F4431" w:rsidRPr="00947F97" w:rsidRDefault="001F4431" w:rsidP="00947F97">
      <w:pPr>
        <w:suppressAutoHyphens/>
        <w:rPr>
          <w:noProof/>
          <w:szCs w:val="22"/>
        </w:rPr>
      </w:pPr>
    </w:p>
    <w:p w14:paraId="571EDC9F" w14:textId="77777777" w:rsidR="00947F97" w:rsidRDefault="00947F97" w:rsidP="00947F97">
      <w:pPr>
        <w:suppressAutoHyphens/>
        <w:rPr>
          <w:noProof/>
          <w:szCs w:val="22"/>
        </w:rPr>
      </w:pPr>
      <w:r w:rsidRPr="00947F97">
        <w:rPr>
          <w:noProof/>
          <w:szCs w:val="22"/>
        </w:rPr>
        <w:lastRenderedPageBreak/>
        <w:t>Allo scopo di ridurre al minimo il rischio di reazioni avverse correlate agli oppiacei e di identificare la</w:t>
      </w:r>
      <w:r w:rsidR="001F4431">
        <w:rPr>
          <w:noProof/>
          <w:szCs w:val="22"/>
        </w:rPr>
        <w:t xml:space="preserve"> </w:t>
      </w:r>
      <w:r w:rsidRPr="00947F97">
        <w:rPr>
          <w:noProof/>
          <w:szCs w:val="22"/>
        </w:rPr>
        <w:t>dose idonea, è assolutamente necessario un attento monitoraggio dei pazienti da parte degli operatori</w:t>
      </w:r>
      <w:r w:rsidR="001F4431">
        <w:rPr>
          <w:noProof/>
          <w:szCs w:val="22"/>
        </w:rPr>
        <w:t xml:space="preserve"> </w:t>
      </w:r>
      <w:r w:rsidRPr="00947F97">
        <w:rPr>
          <w:noProof/>
          <w:szCs w:val="22"/>
        </w:rPr>
        <w:t>sanitari durante il processo di titolazione.</w:t>
      </w:r>
    </w:p>
    <w:p w14:paraId="5602A164" w14:textId="77777777" w:rsidR="001F4431" w:rsidRPr="00947F97" w:rsidRDefault="001F4431" w:rsidP="00947F97">
      <w:pPr>
        <w:suppressAutoHyphens/>
        <w:rPr>
          <w:noProof/>
          <w:szCs w:val="22"/>
        </w:rPr>
      </w:pPr>
    </w:p>
    <w:p w14:paraId="3DF66D2B" w14:textId="727119D9" w:rsidR="001F4431" w:rsidRDefault="00947F97" w:rsidP="00947F97">
      <w:pPr>
        <w:suppressAutoHyphens/>
        <w:rPr>
          <w:noProof/>
          <w:szCs w:val="22"/>
        </w:rPr>
      </w:pPr>
      <w:r w:rsidRPr="00947F97">
        <w:rPr>
          <w:noProof/>
          <w:szCs w:val="22"/>
        </w:rPr>
        <w:t>Durante la titolazione i pazienti devono attendere almeno 2</w:t>
      </w:r>
      <w:r w:rsidR="00FB4898">
        <w:rPr>
          <w:noProof/>
          <w:szCs w:val="22"/>
        </w:rPr>
        <w:t> </w:t>
      </w:r>
      <w:r w:rsidRPr="00947F97">
        <w:rPr>
          <w:noProof/>
          <w:szCs w:val="22"/>
        </w:rPr>
        <w:t>ore prima di trattare una nuova</w:t>
      </w:r>
      <w:r w:rsidR="001F4431">
        <w:rPr>
          <w:noProof/>
          <w:szCs w:val="22"/>
        </w:rPr>
        <w:t xml:space="preserve"> </w:t>
      </w:r>
      <w:r w:rsidRPr="00947F97">
        <w:rPr>
          <w:noProof/>
          <w:szCs w:val="22"/>
        </w:rPr>
        <w:t xml:space="preserve">manifestazione di dolore episodico intenso con </w:t>
      </w:r>
      <w:r w:rsidR="001F4431">
        <w:rPr>
          <w:noProof/>
          <w:szCs w:val="22"/>
        </w:rPr>
        <w:t>Sublifen.</w:t>
      </w:r>
    </w:p>
    <w:p w14:paraId="31C6DD6B" w14:textId="77777777" w:rsidR="001F4431" w:rsidRDefault="001F4431" w:rsidP="00947F97">
      <w:pPr>
        <w:suppressAutoHyphens/>
        <w:rPr>
          <w:noProof/>
          <w:szCs w:val="22"/>
        </w:rPr>
      </w:pPr>
    </w:p>
    <w:p w14:paraId="352920B2" w14:textId="77777777" w:rsidR="004E16EF" w:rsidRPr="004E16EF" w:rsidRDefault="004E16EF" w:rsidP="004E16EF">
      <w:pPr>
        <w:suppressAutoHyphens/>
        <w:rPr>
          <w:noProof/>
          <w:szCs w:val="22"/>
          <w:u w:val="single"/>
        </w:rPr>
      </w:pPr>
      <w:r w:rsidRPr="004E16EF">
        <w:rPr>
          <w:noProof/>
          <w:szCs w:val="22"/>
          <w:u w:val="single"/>
        </w:rPr>
        <w:t>Terapia di mantenimento:</w:t>
      </w:r>
    </w:p>
    <w:p w14:paraId="05D829CE" w14:textId="6E260A87" w:rsidR="004E16EF" w:rsidRDefault="004E16EF" w:rsidP="004E16EF">
      <w:pPr>
        <w:suppressAutoHyphens/>
        <w:rPr>
          <w:noProof/>
          <w:szCs w:val="22"/>
        </w:rPr>
      </w:pPr>
      <w:r w:rsidRPr="004E16EF">
        <w:rPr>
          <w:noProof/>
          <w:szCs w:val="22"/>
        </w:rPr>
        <w:t>Una volta stabilita una dose idonea, che può consistere anche in più compresse, i pazienti devono</w:t>
      </w:r>
      <w:r>
        <w:rPr>
          <w:noProof/>
          <w:szCs w:val="22"/>
        </w:rPr>
        <w:t xml:space="preserve"> </w:t>
      </w:r>
      <w:r w:rsidRPr="004E16EF">
        <w:rPr>
          <w:noProof/>
          <w:szCs w:val="22"/>
        </w:rPr>
        <w:t xml:space="preserve">rimanere su questa dose, e devono limitare il consumo a un massimo di quattro dosi di </w:t>
      </w:r>
      <w:r>
        <w:rPr>
          <w:noProof/>
          <w:szCs w:val="22"/>
        </w:rPr>
        <w:t>Sublifen</w:t>
      </w:r>
      <w:r w:rsidRPr="004E16EF">
        <w:rPr>
          <w:noProof/>
          <w:szCs w:val="22"/>
        </w:rPr>
        <w:t xml:space="preserve"> al</w:t>
      </w:r>
      <w:r>
        <w:rPr>
          <w:noProof/>
          <w:szCs w:val="22"/>
        </w:rPr>
        <w:t xml:space="preserve"> </w:t>
      </w:r>
      <w:r w:rsidRPr="004E16EF">
        <w:rPr>
          <w:noProof/>
          <w:szCs w:val="22"/>
        </w:rPr>
        <w:t>giorno.</w:t>
      </w:r>
    </w:p>
    <w:p w14:paraId="50C86ED8" w14:textId="77777777" w:rsidR="004E16EF" w:rsidRPr="004E16EF" w:rsidRDefault="004E16EF" w:rsidP="004E16EF">
      <w:pPr>
        <w:suppressAutoHyphens/>
        <w:rPr>
          <w:noProof/>
          <w:szCs w:val="22"/>
        </w:rPr>
      </w:pPr>
    </w:p>
    <w:p w14:paraId="34513859" w14:textId="77F983ED" w:rsidR="004E16EF" w:rsidRDefault="004E16EF" w:rsidP="004E16EF">
      <w:pPr>
        <w:suppressAutoHyphens/>
        <w:rPr>
          <w:noProof/>
          <w:szCs w:val="22"/>
        </w:rPr>
      </w:pPr>
      <w:r w:rsidRPr="004E16EF">
        <w:rPr>
          <w:noProof/>
          <w:szCs w:val="22"/>
        </w:rPr>
        <w:t>Durante il periodo di mantenimento i pazienti devono attendere almeno 2</w:t>
      </w:r>
      <w:r w:rsidR="00FB4898">
        <w:rPr>
          <w:noProof/>
          <w:szCs w:val="22"/>
        </w:rPr>
        <w:t> </w:t>
      </w:r>
      <w:r w:rsidRPr="004E16EF">
        <w:rPr>
          <w:noProof/>
          <w:szCs w:val="22"/>
        </w:rPr>
        <w:t>ore prima di trattare una</w:t>
      </w:r>
      <w:r w:rsidR="00D866BB">
        <w:rPr>
          <w:noProof/>
          <w:szCs w:val="22"/>
        </w:rPr>
        <w:t xml:space="preserve"> </w:t>
      </w:r>
      <w:r w:rsidRPr="004E16EF">
        <w:rPr>
          <w:noProof/>
          <w:szCs w:val="22"/>
        </w:rPr>
        <w:t xml:space="preserve">nuova manifestazione di dolore episodico intenso con </w:t>
      </w:r>
      <w:r>
        <w:rPr>
          <w:noProof/>
          <w:szCs w:val="22"/>
        </w:rPr>
        <w:t>Sublifen</w:t>
      </w:r>
      <w:r w:rsidRPr="004E16EF">
        <w:rPr>
          <w:noProof/>
          <w:szCs w:val="22"/>
        </w:rPr>
        <w:t>.</w:t>
      </w:r>
    </w:p>
    <w:p w14:paraId="2AEB8D0B" w14:textId="77777777" w:rsidR="004E16EF" w:rsidRPr="004E16EF" w:rsidRDefault="004E16EF" w:rsidP="004E16EF">
      <w:pPr>
        <w:suppressAutoHyphens/>
        <w:rPr>
          <w:noProof/>
          <w:szCs w:val="22"/>
        </w:rPr>
      </w:pPr>
    </w:p>
    <w:p w14:paraId="298EA940" w14:textId="561A1D45" w:rsidR="004E16EF" w:rsidRPr="004E16EF" w:rsidRDefault="00AD6291" w:rsidP="004E16EF">
      <w:pPr>
        <w:suppressAutoHyphens/>
        <w:rPr>
          <w:noProof/>
          <w:szCs w:val="22"/>
          <w:u w:val="single"/>
        </w:rPr>
      </w:pPr>
      <w:r>
        <w:rPr>
          <w:noProof/>
          <w:szCs w:val="22"/>
          <w:u w:val="single"/>
        </w:rPr>
        <w:t>A</w:t>
      </w:r>
      <w:r w:rsidR="004E16EF" w:rsidRPr="004E16EF">
        <w:rPr>
          <w:noProof/>
          <w:szCs w:val="22"/>
          <w:u w:val="single"/>
        </w:rPr>
        <w:t>ggiustamenti d</w:t>
      </w:r>
      <w:r>
        <w:rPr>
          <w:noProof/>
          <w:szCs w:val="22"/>
          <w:u w:val="single"/>
        </w:rPr>
        <w:t>ella</w:t>
      </w:r>
      <w:r w:rsidR="004E16EF" w:rsidRPr="004E16EF">
        <w:rPr>
          <w:noProof/>
          <w:szCs w:val="22"/>
          <w:u w:val="single"/>
        </w:rPr>
        <w:t xml:space="preserve"> dose:</w:t>
      </w:r>
    </w:p>
    <w:p w14:paraId="60FFD650" w14:textId="77777777" w:rsidR="004E16EF" w:rsidRDefault="004E16EF" w:rsidP="004E16EF">
      <w:pPr>
        <w:suppressAutoHyphens/>
        <w:rPr>
          <w:noProof/>
          <w:szCs w:val="22"/>
        </w:rPr>
      </w:pPr>
      <w:r w:rsidRPr="004E16EF">
        <w:rPr>
          <w:noProof/>
          <w:szCs w:val="22"/>
        </w:rPr>
        <w:t xml:space="preserve">Se la risposta (analgesia o reazioni avverse) alla dose titolata di </w:t>
      </w:r>
      <w:r>
        <w:rPr>
          <w:noProof/>
          <w:szCs w:val="22"/>
        </w:rPr>
        <w:t>Sublifen</w:t>
      </w:r>
      <w:r w:rsidRPr="004E16EF">
        <w:rPr>
          <w:noProof/>
          <w:szCs w:val="22"/>
        </w:rPr>
        <w:t xml:space="preserve"> cambia in maniera evidente,</w:t>
      </w:r>
      <w:r>
        <w:rPr>
          <w:noProof/>
          <w:szCs w:val="22"/>
        </w:rPr>
        <w:t xml:space="preserve"> </w:t>
      </w:r>
      <w:r w:rsidRPr="004E16EF">
        <w:rPr>
          <w:noProof/>
          <w:szCs w:val="22"/>
        </w:rPr>
        <w:t>può essere necessario un aggiustamento per assicurare il mantenimento di una dose ottimale.</w:t>
      </w:r>
    </w:p>
    <w:p w14:paraId="51CDA1A3" w14:textId="77777777" w:rsidR="004E16EF" w:rsidRPr="004E16EF" w:rsidRDefault="004E16EF" w:rsidP="004E16EF">
      <w:pPr>
        <w:suppressAutoHyphens/>
        <w:rPr>
          <w:noProof/>
          <w:szCs w:val="22"/>
        </w:rPr>
      </w:pPr>
    </w:p>
    <w:p w14:paraId="58BEDD9A" w14:textId="77777777" w:rsidR="004E16EF" w:rsidRDefault="004E16EF" w:rsidP="004E16EF">
      <w:pPr>
        <w:suppressAutoHyphens/>
        <w:rPr>
          <w:noProof/>
          <w:szCs w:val="22"/>
        </w:rPr>
      </w:pPr>
      <w:r w:rsidRPr="004E16EF">
        <w:rPr>
          <w:noProof/>
          <w:szCs w:val="22"/>
        </w:rPr>
        <w:t>Se si verificano più di quattro episodi di dolore episodico intenso al giorno per un periodo superiore a</w:t>
      </w:r>
      <w:r>
        <w:rPr>
          <w:noProof/>
          <w:szCs w:val="22"/>
        </w:rPr>
        <w:t xml:space="preserve"> </w:t>
      </w:r>
      <w:r w:rsidRPr="004E16EF">
        <w:rPr>
          <w:noProof/>
          <w:szCs w:val="22"/>
        </w:rPr>
        <w:t>quattro giorni consecutivi, deve essere nuovamente valutata la dose dell</w:t>
      </w:r>
      <w:r w:rsidR="00393B71">
        <w:rPr>
          <w:noProof/>
          <w:szCs w:val="22"/>
        </w:rPr>
        <w:t>’</w:t>
      </w:r>
      <w:r w:rsidRPr="004E16EF">
        <w:rPr>
          <w:noProof/>
          <w:szCs w:val="22"/>
        </w:rPr>
        <w:t>oppiaceo a lunga durata</w:t>
      </w:r>
      <w:r>
        <w:rPr>
          <w:noProof/>
          <w:szCs w:val="22"/>
        </w:rPr>
        <w:t xml:space="preserve"> d</w:t>
      </w:r>
      <w:r w:rsidR="00393B71">
        <w:rPr>
          <w:noProof/>
          <w:szCs w:val="22"/>
        </w:rPr>
        <w:t>’</w:t>
      </w:r>
      <w:r w:rsidRPr="004E16EF">
        <w:rPr>
          <w:noProof/>
          <w:szCs w:val="22"/>
        </w:rPr>
        <w:t xml:space="preserve">azione usata </w:t>
      </w:r>
      <w:r>
        <w:rPr>
          <w:noProof/>
          <w:szCs w:val="22"/>
        </w:rPr>
        <w:t>per il dolore persistente. Se l</w:t>
      </w:r>
      <w:r w:rsidR="00393B71">
        <w:rPr>
          <w:noProof/>
          <w:szCs w:val="22"/>
        </w:rPr>
        <w:t>’</w:t>
      </w:r>
      <w:r>
        <w:rPr>
          <w:noProof/>
          <w:szCs w:val="22"/>
        </w:rPr>
        <w:t>oppiaceo a lunga durata d</w:t>
      </w:r>
      <w:r w:rsidR="00393B71">
        <w:rPr>
          <w:noProof/>
          <w:szCs w:val="22"/>
        </w:rPr>
        <w:t>’</w:t>
      </w:r>
      <w:r w:rsidRPr="004E16EF">
        <w:rPr>
          <w:noProof/>
          <w:szCs w:val="22"/>
        </w:rPr>
        <w:t>azione o la sua dose vengono</w:t>
      </w:r>
      <w:r>
        <w:rPr>
          <w:noProof/>
          <w:szCs w:val="22"/>
        </w:rPr>
        <w:t xml:space="preserve"> </w:t>
      </w:r>
      <w:r w:rsidRPr="004E16EF">
        <w:rPr>
          <w:noProof/>
          <w:szCs w:val="22"/>
        </w:rPr>
        <w:t xml:space="preserve">modificati, il dosaggio di </w:t>
      </w:r>
      <w:r>
        <w:rPr>
          <w:noProof/>
          <w:szCs w:val="22"/>
        </w:rPr>
        <w:t>Sublifen</w:t>
      </w:r>
      <w:r w:rsidRPr="004E16EF">
        <w:rPr>
          <w:noProof/>
          <w:szCs w:val="22"/>
        </w:rPr>
        <w:t xml:space="preserve"> deve essere rivalutato e nuovamente titolato, per assicurare che sia</w:t>
      </w:r>
      <w:r>
        <w:rPr>
          <w:noProof/>
          <w:szCs w:val="22"/>
        </w:rPr>
        <w:t xml:space="preserve"> </w:t>
      </w:r>
      <w:r w:rsidRPr="004E16EF">
        <w:rPr>
          <w:noProof/>
          <w:szCs w:val="22"/>
        </w:rPr>
        <w:t>ottimale per il paziente.</w:t>
      </w:r>
    </w:p>
    <w:p w14:paraId="2D4852A9" w14:textId="77777777" w:rsidR="004E16EF" w:rsidRDefault="004E16EF" w:rsidP="004E16EF">
      <w:pPr>
        <w:suppressAutoHyphens/>
        <w:rPr>
          <w:noProof/>
          <w:szCs w:val="22"/>
        </w:rPr>
      </w:pPr>
    </w:p>
    <w:p w14:paraId="4A97DE95" w14:textId="77777777" w:rsidR="004E16EF" w:rsidRPr="004E16EF" w:rsidRDefault="004E16EF" w:rsidP="004E16EF">
      <w:pPr>
        <w:suppressAutoHyphens/>
        <w:rPr>
          <w:noProof/>
          <w:szCs w:val="22"/>
        </w:rPr>
      </w:pPr>
      <w:r w:rsidRPr="004E16EF">
        <w:rPr>
          <w:noProof/>
          <w:szCs w:val="22"/>
        </w:rPr>
        <w:t>In assenza di un controllo adeguato del dolore, deve essere considerata</w:t>
      </w:r>
      <w:r w:rsidR="00D866BB">
        <w:rPr>
          <w:noProof/>
          <w:szCs w:val="22"/>
        </w:rPr>
        <w:t xml:space="preserve"> la possibilità di iperalgesia, </w:t>
      </w:r>
      <w:r w:rsidRPr="004E16EF">
        <w:rPr>
          <w:noProof/>
          <w:szCs w:val="22"/>
        </w:rPr>
        <w:t>tolleranza e progressione della malattia di base (vedere paragrafo 4.4).</w:t>
      </w:r>
    </w:p>
    <w:p w14:paraId="3F42D504" w14:textId="77777777" w:rsidR="004E16EF" w:rsidRPr="004E16EF" w:rsidRDefault="004E16EF" w:rsidP="004E16EF">
      <w:pPr>
        <w:suppressAutoHyphens/>
        <w:rPr>
          <w:noProof/>
          <w:szCs w:val="22"/>
        </w:rPr>
      </w:pPr>
    </w:p>
    <w:p w14:paraId="01F2E0F6" w14:textId="77777777" w:rsidR="004E16EF" w:rsidRDefault="004E16EF" w:rsidP="004E16EF">
      <w:pPr>
        <w:suppressAutoHyphens/>
        <w:rPr>
          <w:noProof/>
          <w:szCs w:val="22"/>
        </w:rPr>
      </w:pPr>
      <w:r w:rsidRPr="004E16EF">
        <w:rPr>
          <w:noProof/>
          <w:szCs w:val="22"/>
        </w:rPr>
        <w:t xml:space="preserve">È </w:t>
      </w:r>
      <w:r>
        <w:rPr>
          <w:noProof/>
          <w:szCs w:val="22"/>
        </w:rPr>
        <w:t>indispensabile che un</w:t>
      </w:r>
      <w:r w:rsidR="00393B71">
        <w:rPr>
          <w:noProof/>
          <w:szCs w:val="22"/>
        </w:rPr>
        <w:t>’</w:t>
      </w:r>
      <w:r w:rsidRPr="004E16EF">
        <w:rPr>
          <w:noProof/>
          <w:szCs w:val="22"/>
        </w:rPr>
        <w:t>eventuale</w:t>
      </w:r>
      <w:r>
        <w:rPr>
          <w:noProof/>
          <w:szCs w:val="22"/>
        </w:rPr>
        <w:t xml:space="preserve"> nuova titolazione di dose dell</w:t>
      </w:r>
      <w:r w:rsidR="00393B71">
        <w:rPr>
          <w:noProof/>
          <w:szCs w:val="22"/>
        </w:rPr>
        <w:t>’</w:t>
      </w:r>
      <w:r w:rsidRPr="004E16EF">
        <w:rPr>
          <w:noProof/>
          <w:szCs w:val="22"/>
        </w:rPr>
        <w:t>analgesico sia monitorata</w:t>
      </w:r>
      <w:r>
        <w:rPr>
          <w:noProof/>
          <w:szCs w:val="22"/>
        </w:rPr>
        <w:t xml:space="preserve"> </w:t>
      </w:r>
      <w:r w:rsidRPr="004E16EF">
        <w:rPr>
          <w:noProof/>
          <w:szCs w:val="22"/>
        </w:rPr>
        <w:t>da un operatore sanitario.</w:t>
      </w:r>
    </w:p>
    <w:p w14:paraId="5DACDD0F" w14:textId="366F9AE6" w:rsidR="004E16EF" w:rsidRDefault="004E16EF" w:rsidP="004E16EF">
      <w:pPr>
        <w:suppressAutoHyphens/>
        <w:rPr>
          <w:noProof/>
          <w:szCs w:val="22"/>
        </w:rPr>
      </w:pPr>
    </w:p>
    <w:p w14:paraId="5B488912" w14:textId="6CE430AE" w:rsidR="005C6E31" w:rsidRPr="005C6E31" w:rsidRDefault="005C6E31" w:rsidP="005C6E31">
      <w:pPr>
        <w:suppressAutoHyphens/>
        <w:rPr>
          <w:noProof/>
          <w:szCs w:val="22"/>
          <w:u w:val="single"/>
        </w:rPr>
      </w:pPr>
      <w:r w:rsidRPr="005C6E31">
        <w:rPr>
          <w:noProof/>
          <w:szCs w:val="22"/>
          <w:u w:val="single"/>
        </w:rPr>
        <w:t>Durata e obiettivi del trattamento</w:t>
      </w:r>
      <w:r>
        <w:rPr>
          <w:noProof/>
          <w:szCs w:val="22"/>
          <w:u w:val="single"/>
        </w:rPr>
        <w:t>:</w:t>
      </w:r>
    </w:p>
    <w:p w14:paraId="72963B60" w14:textId="631E8782" w:rsidR="003E62D8" w:rsidRPr="005C6E31" w:rsidRDefault="005C6E31" w:rsidP="005C6E31">
      <w:pPr>
        <w:suppressAutoHyphens/>
        <w:rPr>
          <w:noProof/>
          <w:szCs w:val="22"/>
        </w:rPr>
      </w:pPr>
      <w:r w:rsidRPr="00F27146">
        <w:rPr>
          <w:noProof/>
          <w:szCs w:val="22"/>
        </w:rPr>
        <w:t>Prima di iniziare il trattamento con Sublifen deve essere concordata con il paziente una strategia di trattamento che comprenda la durata e gli obiettivi dello stesso, e un piano per la conclusione del trattamento, in accordo con le linee guida per la gestione del dolore. Durante il trattamento, vi deve essere un contatto frequente tra il medico e il paziente al fine di valutare la necessità di proseguire il trattamento, considerare l’interruzione del trattamento e, se necessario, adeguare la posologia. In assenza di un adeguato controllo del dolore, deve essere considerata la possibilità di iperalgesia, tolleranza e progressione della malattia di base (vedere paragrafo 4.4). Sublifen non deve essere utilizzato più a lungo del necessario.</w:t>
      </w:r>
    </w:p>
    <w:p w14:paraId="677DC5F2" w14:textId="77777777" w:rsidR="003E62D8" w:rsidRPr="004E16EF" w:rsidRDefault="003E62D8" w:rsidP="004E16EF">
      <w:pPr>
        <w:suppressAutoHyphens/>
        <w:rPr>
          <w:noProof/>
          <w:szCs w:val="22"/>
        </w:rPr>
      </w:pPr>
    </w:p>
    <w:p w14:paraId="4BA98249" w14:textId="77777777" w:rsidR="004E16EF" w:rsidRPr="004E16EF" w:rsidRDefault="004E16EF" w:rsidP="004E16EF">
      <w:pPr>
        <w:suppressAutoHyphens/>
        <w:rPr>
          <w:noProof/>
          <w:szCs w:val="22"/>
          <w:u w:val="single"/>
        </w:rPr>
      </w:pPr>
      <w:r w:rsidRPr="004E16EF">
        <w:rPr>
          <w:noProof/>
          <w:szCs w:val="22"/>
          <w:u w:val="single"/>
        </w:rPr>
        <w:t>Interruzione della terapia:</w:t>
      </w:r>
    </w:p>
    <w:p w14:paraId="40F80256" w14:textId="77777777" w:rsidR="004E16EF" w:rsidRDefault="004E16EF" w:rsidP="004E16EF">
      <w:pPr>
        <w:suppressAutoHyphens/>
        <w:rPr>
          <w:noProof/>
          <w:szCs w:val="22"/>
        </w:rPr>
      </w:pPr>
      <w:r w:rsidRPr="004E16EF">
        <w:rPr>
          <w:noProof/>
          <w:szCs w:val="22"/>
        </w:rPr>
        <w:t xml:space="preserve">La terapia con </w:t>
      </w:r>
      <w:r>
        <w:rPr>
          <w:noProof/>
          <w:szCs w:val="22"/>
        </w:rPr>
        <w:t>Sublifen</w:t>
      </w:r>
      <w:r w:rsidRPr="004E16EF">
        <w:rPr>
          <w:noProof/>
          <w:szCs w:val="22"/>
        </w:rPr>
        <w:t xml:space="preserve"> deve essere immediatamente interrotta se il paziente cessa di accusare dolori</w:t>
      </w:r>
      <w:r>
        <w:rPr>
          <w:noProof/>
          <w:szCs w:val="22"/>
        </w:rPr>
        <w:t xml:space="preserve"> </w:t>
      </w:r>
      <w:r w:rsidRPr="004E16EF">
        <w:rPr>
          <w:noProof/>
          <w:szCs w:val="22"/>
        </w:rPr>
        <w:t>episodici. Il trattamento del dolore episodico persistente deve essere continuato secondo le prescrizioni</w:t>
      </w:r>
      <w:r>
        <w:rPr>
          <w:noProof/>
          <w:szCs w:val="22"/>
        </w:rPr>
        <w:t xml:space="preserve"> </w:t>
      </w:r>
      <w:r w:rsidRPr="004E16EF">
        <w:rPr>
          <w:noProof/>
          <w:szCs w:val="22"/>
        </w:rPr>
        <w:t>del medico.</w:t>
      </w:r>
    </w:p>
    <w:p w14:paraId="057E7297" w14:textId="77777777" w:rsidR="004E16EF" w:rsidRPr="004E16EF" w:rsidRDefault="004E16EF" w:rsidP="004E16EF">
      <w:pPr>
        <w:suppressAutoHyphens/>
        <w:rPr>
          <w:noProof/>
          <w:szCs w:val="22"/>
        </w:rPr>
      </w:pPr>
    </w:p>
    <w:p w14:paraId="5EFEBA0F" w14:textId="77777777" w:rsidR="004E16EF" w:rsidRDefault="004E16EF" w:rsidP="004E16EF">
      <w:pPr>
        <w:suppressAutoHyphens/>
        <w:rPr>
          <w:noProof/>
          <w:szCs w:val="22"/>
        </w:rPr>
      </w:pPr>
      <w:r w:rsidRPr="004E16EF">
        <w:rPr>
          <w:noProof/>
          <w:szCs w:val="22"/>
        </w:rPr>
        <w:t>Se è necessario interrompere l</w:t>
      </w:r>
      <w:r w:rsidR="00393B71">
        <w:rPr>
          <w:noProof/>
          <w:szCs w:val="22"/>
        </w:rPr>
        <w:t>’</w:t>
      </w:r>
      <w:r w:rsidRPr="004E16EF">
        <w:rPr>
          <w:noProof/>
          <w:szCs w:val="22"/>
        </w:rPr>
        <w:t xml:space="preserve">intera terapia a base di oppiacei, il </w:t>
      </w:r>
      <w:r w:rsidR="00160C1A">
        <w:rPr>
          <w:noProof/>
          <w:szCs w:val="22"/>
        </w:rPr>
        <w:t>paziente</w:t>
      </w:r>
      <w:r w:rsidRPr="004E16EF">
        <w:rPr>
          <w:noProof/>
          <w:szCs w:val="22"/>
        </w:rPr>
        <w:t xml:space="preserve"> deve </w:t>
      </w:r>
      <w:r w:rsidR="00160C1A">
        <w:rPr>
          <w:noProof/>
          <w:szCs w:val="22"/>
        </w:rPr>
        <w:t>eserre monitorato</w:t>
      </w:r>
      <w:r w:rsidRPr="004E16EF">
        <w:rPr>
          <w:noProof/>
          <w:szCs w:val="22"/>
        </w:rPr>
        <w:t xml:space="preserve"> </w:t>
      </w:r>
      <w:r w:rsidR="00160C1A">
        <w:rPr>
          <w:noProof/>
          <w:szCs w:val="22"/>
        </w:rPr>
        <w:t>attentamente dal medico</w:t>
      </w:r>
      <w:r w:rsidRPr="004E16EF">
        <w:rPr>
          <w:noProof/>
          <w:szCs w:val="22"/>
        </w:rPr>
        <w:t xml:space="preserve">, in modo da </w:t>
      </w:r>
      <w:r w:rsidR="00160C1A">
        <w:rPr>
          <w:noProof/>
          <w:szCs w:val="22"/>
        </w:rPr>
        <w:t xml:space="preserve">evitare il rischio </w:t>
      </w:r>
      <w:r w:rsidRPr="004E16EF">
        <w:rPr>
          <w:noProof/>
          <w:szCs w:val="22"/>
        </w:rPr>
        <w:t>di effetti da brusca sospensione del farmaco</w:t>
      </w:r>
      <w:r w:rsidR="00160C1A">
        <w:rPr>
          <w:noProof/>
          <w:szCs w:val="22"/>
        </w:rPr>
        <w:t>.</w:t>
      </w:r>
    </w:p>
    <w:p w14:paraId="6D34BBEB" w14:textId="77777777" w:rsidR="00160C1A" w:rsidRPr="004E16EF" w:rsidRDefault="00160C1A" w:rsidP="004E16EF">
      <w:pPr>
        <w:suppressAutoHyphens/>
        <w:rPr>
          <w:noProof/>
          <w:szCs w:val="22"/>
        </w:rPr>
      </w:pPr>
    </w:p>
    <w:p w14:paraId="1B1A2AD9" w14:textId="77777777" w:rsidR="004E16EF" w:rsidRPr="00160C1A" w:rsidRDefault="004E16EF" w:rsidP="004E16EF">
      <w:pPr>
        <w:suppressAutoHyphens/>
        <w:rPr>
          <w:noProof/>
          <w:szCs w:val="22"/>
          <w:u w:val="single"/>
        </w:rPr>
      </w:pPr>
      <w:r w:rsidRPr="00160C1A">
        <w:rPr>
          <w:noProof/>
          <w:szCs w:val="22"/>
          <w:u w:val="single"/>
        </w:rPr>
        <w:t>Uso nei bambini e negli adolescenti:</w:t>
      </w:r>
    </w:p>
    <w:p w14:paraId="55EA7FB4" w14:textId="42E1B9D5" w:rsidR="004E16EF" w:rsidRDefault="00160C1A" w:rsidP="004E16EF">
      <w:pPr>
        <w:suppressAutoHyphens/>
        <w:rPr>
          <w:noProof/>
          <w:szCs w:val="22"/>
        </w:rPr>
      </w:pPr>
      <w:r>
        <w:rPr>
          <w:noProof/>
          <w:szCs w:val="22"/>
        </w:rPr>
        <w:t>Sublifen</w:t>
      </w:r>
      <w:r w:rsidR="004E16EF" w:rsidRPr="004E16EF">
        <w:rPr>
          <w:noProof/>
          <w:szCs w:val="22"/>
        </w:rPr>
        <w:t xml:space="preserve"> non si deve usare nei pazienti di età inferiore a 18</w:t>
      </w:r>
      <w:r w:rsidR="0019565E">
        <w:rPr>
          <w:noProof/>
          <w:szCs w:val="22"/>
        </w:rPr>
        <w:t> </w:t>
      </w:r>
      <w:r w:rsidR="004E16EF" w:rsidRPr="004E16EF">
        <w:rPr>
          <w:noProof/>
          <w:szCs w:val="22"/>
        </w:rPr>
        <w:t>anni, a causa della mancanza di dati sulla</w:t>
      </w:r>
      <w:r w:rsidR="00D866BB">
        <w:rPr>
          <w:noProof/>
          <w:szCs w:val="22"/>
        </w:rPr>
        <w:t xml:space="preserve"> </w:t>
      </w:r>
      <w:r w:rsidR="004E16EF" w:rsidRPr="004E16EF">
        <w:rPr>
          <w:noProof/>
          <w:szCs w:val="22"/>
        </w:rPr>
        <w:t>sicurezza e sull</w:t>
      </w:r>
      <w:r w:rsidR="00393B71">
        <w:rPr>
          <w:noProof/>
          <w:szCs w:val="22"/>
        </w:rPr>
        <w:t>’</w:t>
      </w:r>
      <w:r w:rsidR="004E16EF" w:rsidRPr="004E16EF">
        <w:rPr>
          <w:noProof/>
          <w:szCs w:val="22"/>
        </w:rPr>
        <w:t>efficacia.</w:t>
      </w:r>
    </w:p>
    <w:p w14:paraId="2031F110" w14:textId="77777777" w:rsidR="00160C1A" w:rsidRPr="004E16EF" w:rsidRDefault="00160C1A" w:rsidP="004E16EF">
      <w:pPr>
        <w:suppressAutoHyphens/>
        <w:rPr>
          <w:noProof/>
          <w:szCs w:val="22"/>
        </w:rPr>
      </w:pPr>
    </w:p>
    <w:p w14:paraId="36F9B008" w14:textId="77777777" w:rsidR="004E16EF" w:rsidRPr="00D866BB" w:rsidRDefault="004E16EF" w:rsidP="004E16EF">
      <w:pPr>
        <w:suppressAutoHyphens/>
        <w:rPr>
          <w:noProof/>
          <w:szCs w:val="22"/>
          <w:u w:val="single"/>
        </w:rPr>
      </w:pPr>
      <w:r w:rsidRPr="00D866BB">
        <w:rPr>
          <w:noProof/>
          <w:szCs w:val="22"/>
          <w:u w:val="single"/>
        </w:rPr>
        <w:t>Uso nelle persone anziane:</w:t>
      </w:r>
    </w:p>
    <w:p w14:paraId="23E2E5BF" w14:textId="68A2EB15" w:rsidR="004E16EF" w:rsidRPr="004E16EF" w:rsidRDefault="00D866BB" w:rsidP="004E16EF">
      <w:pPr>
        <w:suppressAutoHyphens/>
        <w:rPr>
          <w:noProof/>
          <w:szCs w:val="22"/>
        </w:rPr>
      </w:pPr>
      <w:r>
        <w:rPr>
          <w:noProof/>
          <w:szCs w:val="22"/>
        </w:rPr>
        <w:t>L</w:t>
      </w:r>
      <w:r w:rsidR="00393B71">
        <w:rPr>
          <w:noProof/>
          <w:szCs w:val="22"/>
        </w:rPr>
        <w:t>’</w:t>
      </w:r>
      <w:r w:rsidR="004E16EF" w:rsidRPr="004E16EF">
        <w:rPr>
          <w:noProof/>
          <w:szCs w:val="22"/>
        </w:rPr>
        <w:t xml:space="preserve">approccio alla titolazione della dose deve avvenire con particolare cautela e i pazienti vanno </w:t>
      </w:r>
      <w:r w:rsidR="00063446">
        <w:rPr>
          <w:noProof/>
          <w:szCs w:val="22"/>
        </w:rPr>
        <w:t>sotto</w:t>
      </w:r>
      <w:r w:rsidR="004E16EF" w:rsidRPr="004E16EF">
        <w:rPr>
          <w:noProof/>
          <w:szCs w:val="22"/>
        </w:rPr>
        <w:t>posti</w:t>
      </w:r>
      <w:r w:rsidR="00B437A3">
        <w:rPr>
          <w:noProof/>
          <w:szCs w:val="22"/>
        </w:rPr>
        <w:t xml:space="preserve"> </w:t>
      </w:r>
      <w:r w:rsidR="00063446">
        <w:rPr>
          <w:noProof/>
          <w:szCs w:val="22"/>
        </w:rPr>
        <w:t>ad</w:t>
      </w:r>
      <w:r w:rsidR="00063446" w:rsidRPr="004E16EF">
        <w:rPr>
          <w:noProof/>
          <w:szCs w:val="22"/>
        </w:rPr>
        <w:t xml:space="preserve"> </w:t>
      </w:r>
      <w:r w:rsidR="004E16EF" w:rsidRPr="004E16EF">
        <w:rPr>
          <w:noProof/>
          <w:szCs w:val="22"/>
        </w:rPr>
        <w:t>attenta osservazione per rilevare eventuali segni di tossicità da fentanil (vedere paragrafo 4.4).</w:t>
      </w:r>
    </w:p>
    <w:p w14:paraId="529484C3" w14:textId="77777777" w:rsidR="00B437A3" w:rsidRDefault="00B437A3" w:rsidP="004E16EF">
      <w:pPr>
        <w:suppressAutoHyphens/>
        <w:rPr>
          <w:noProof/>
          <w:szCs w:val="22"/>
        </w:rPr>
      </w:pPr>
    </w:p>
    <w:p w14:paraId="26B60568" w14:textId="77777777" w:rsidR="004E16EF" w:rsidRPr="00B437A3" w:rsidRDefault="004E16EF" w:rsidP="004E16EF">
      <w:pPr>
        <w:suppressAutoHyphens/>
        <w:rPr>
          <w:noProof/>
          <w:szCs w:val="22"/>
          <w:u w:val="single"/>
        </w:rPr>
      </w:pPr>
      <w:r w:rsidRPr="00B437A3">
        <w:rPr>
          <w:noProof/>
          <w:szCs w:val="22"/>
          <w:u w:val="single"/>
        </w:rPr>
        <w:t>Uso nei pazienti con insufficienza renale ed epatica:</w:t>
      </w:r>
    </w:p>
    <w:p w14:paraId="2FFA3515" w14:textId="77777777" w:rsidR="002D2FE7" w:rsidRPr="00947F97" w:rsidRDefault="004E16EF" w:rsidP="004E16EF">
      <w:pPr>
        <w:suppressAutoHyphens/>
        <w:rPr>
          <w:noProof/>
          <w:szCs w:val="22"/>
        </w:rPr>
      </w:pPr>
      <w:r w:rsidRPr="004E16EF">
        <w:rPr>
          <w:noProof/>
          <w:szCs w:val="22"/>
        </w:rPr>
        <w:t>I pazienti che presentano disfunzione epatica o renale devono essere sottoposti ad attenta osservazione</w:t>
      </w:r>
      <w:r w:rsidR="00B437A3">
        <w:rPr>
          <w:noProof/>
          <w:szCs w:val="22"/>
        </w:rPr>
        <w:t xml:space="preserve"> </w:t>
      </w:r>
      <w:r w:rsidRPr="004E16EF">
        <w:rPr>
          <w:noProof/>
          <w:szCs w:val="22"/>
        </w:rPr>
        <w:t xml:space="preserve">durante la titolazione della dose di </w:t>
      </w:r>
      <w:r w:rsidR="00B437A3">
        <w:rPr>
          <w:noProof/>
          <w:szCs w:val="22"/>
        </w:rPr>
        <w:t>Sublifen per rilevare l</w:t>
      </w:r>
      <w:r w:rsidR="00393B71">
        <w:rPr>
          <w:noProof/>
          <w:szCs w:val="22"/>
        </w:rPr>
        <w:t>’</w:t>
      </w:r>
      <w:r w:rsidRPr="004E16EF">
        <w:rPr>
          <w:noProof/>
          <w:szCs w:val="22"/>
        </w:rPr>
        <w:t>eventuale comparsa di segni di tossicità da</w:t>
      </w:r>
      <w:r w:rsidR="00B437A3">
        <w:rPr>
          <w:noProof/>
          <w:szCs w:val="22"/>
        </w:rPr>
        <w:t xml:space="preserve"> </w:t>
      </w:r>
      <w:r w:rsidRPr="004E16EF">
        <w:rPr>
          <w:noProof/>
          <w:szCs w:val="22"/>
        </w:rPr>
        <w:t>fentanil (vedere paragrafo 4.4).</w:t>
      </w:r>
    </w:p>
    <w:p w14:paraId="2CD3395A" w14:textId="77777777" w:rsidR="00C75B69" w:rsidRPr="00804996" w:rsidRDefault="00C75B69" w:rsidP="00AD4B58">
      <w:pPr>
        <w:autoSpaceDE w:val="0"/>
        <w:autoSpaceDN w:val="0"/>
        <w:adjustRightInd w:val="0"/>
        <w:jc w:val="both"/>
      </w:pPr>
    </w:p>
    <w:p w14:paraId="3E4BF98D" w14:textId="77777777" w:rsidR="00C75B69" w:rsidRPr="00804996" w:rsidRDefault="00B46DB0" w:rsidP="00AD4B58">
      <w:pPr>
        <w:suppressAutoHyphens/>
        <w:ind w:left="567" w:hanging="567"/>
      </w:pPr>
      <w:r w:rsidRPr="00804996">
        <w:rPr>
          <w:b/>
        </w:rPr>
        <w:t>4.3</w:t>
      </w:r>
      <w:r w:rsidRPr="00804996">
        <w:rPr>
          <w:b/>
        </w:rPr>
        <w:tab/>
        <w:t>Controindicazioni</w:t>
      </w:r>
    </w:p>
    <w:p w14:paraId="03B1777C" w14:textId="77777777" w:rsidR="00C75B69" w:rsidRPr="00804996" w:rsidRDefault="00C75B69" w:rsidP="00AD4B58">
      <w:pPr>
        <w:suppressAutoHyphens/>
      </w:pPr>
    </w:p>
    <w:p w14:paraId="4A417AAE" w14:textId="77777777" w:rsidR="001F6D2B" w:rsidRDefault="001F6D2B" w:rsidP="001F6D2B">
      <w:pPr>
        <w:suppressAutoHyphens/>
      </w:pPr>
      <w:r>
        <w:t>Ipersensibilità al principio attivo o ad uno qualsiasi degli eccipienti elencati al paragrafo 6.1.</w:t>
      </w:r>
    </w:p>
    <w:p w14:paraId="4D0C4C9D" w14:textId="77777777" w:rsidR="001F6D2B" w:rsidRDefault="001F6D2B" w:rsidP="001F6D2B">
      <w:pPr>
        <w:suppressAutoHyphens/>
      </w:pPr>
    </w:p>
    <w:p w14:paraId="6BE3EFFC" w14:textId="77777777" w:rsidR="001F6D2B" w:rsidRDefault="001F6D2B" w:rsidP="001F6D2B">
      <w:pPr>
        <w:suppressAutoHyphens/>
      </w:pPr>
      <w:r>
        <w:t>Pazienti senza terapia di mantenimento con oppiacei poiché c</w:t>
      </w:r>
      <w:r w:rsidR="00393B71">
        <w:t>’</w:t>
      </w:r>
      <w:r>
        <w:t>è un aumentato rischio di depressione respiratoria.</w:t>
      </w:r>
    </w:p>
    <w:p w14:paraId="227A854B" w14:textId="77777777" w:rsidR="001F6D2B" w:rsidRDefault="001F6D2B" w:rsidP="001F6D2B">
      <w:pPr>
        <w:suppressAutoHyphens/>
      </w:pPr>
    </w:p>
    <w:p w14:paraId="515853B4" w14:textId="77777777" w:rsidR="001F6D2B" w:rsidRDefault="009D4346" w:rsidP="001F6D2B">
      <w:pPr>
        <w:suppressAutoHyphens/>
      </w:pPr>
      <w:r>
        <w:t>Severa</w:t>
      </w:r>
      <w:r w:rsidR="001F6D2B">
        <w:t xml:space="preserve"> depressione respiratoria o </w:t>
      </w:r>
      <w:r w:rsidR="001F47D5">
        <w:t>severe</w:t>
      </w:r>
      <w:r w:rsidR="001F6D2B">
        <w:t xml:space="preserve"> malattie polmonari ostruttive.</w:t>
      </w:r>
    </w:p>
    <w:p w14:paraId="449008D7" w14:textId="77777777" w:rsidR="001F6D2B" w:rsidRDefault="001F6D2B" w:rsidP="001F6D2B">
      <w:pPr>
        <w:suppressAutoHyphens/>
      </w:pPr>
    </w:p>
    <w:p w14:paraId="64B001E3" w14:textId="77777777" w:rsidR="009974A5" w:rsidRDefault="001F6D2B" w:rsidP="001F6D2B">
      <w:pPr>
        <w:suppressAutoHyphens/>
      </w:pPr>
      <w:r>
        <w:t>Trattamento del dolore acuto diverso dal dolore episodico intenso.</w:t>
      </w:r>
    </w:p>
    <w:p w14:paraId="4F453CE0" w14:textId="77777777" w:rsidR="009974A5" w:rsidRDefault="009974A5" w:rsidP="00AD4B58">
      <w:pPr>
        <w:suppressAutoHyphens/>
      </w:pPr>
    </w:p>
    <w:p w14:paraId="2E3D4E4B" w14:textId="77777777" w:rsidR="00C75B69" w:rsidRDefault="001F6D2B" w:rsidP="00AD4B58">
      <w:pPr>
        <w:suppressAutoHyphens/>
      </w:pPr>
      <w:r w:rsidRPr="001F6D2B">
        <w:t xml:space="preserve">Pazienti in trattamento con medicinali contenenti </w:t>
      </w:r>
      <w:r>
        <w:t xml:space="preserve">sodio </w:t>
      </w:r>
      <w:proofErr w:type="spellStart"/>
      <w:r>
        <w:t>oxibato</w:t>
      </w:r>
      <w:proofErr w:type="spellEnd"/>
      <w:r>
        <w:t>.</w:t>
      </w:r>
    </w:p>
    <w:p w14:paraId="00F162D3" w14:textId="77777777" w:rsidR="001F6D2B" w:rsidRPr="00804996" w:rsidRDefault="001F6D2B" w:rsidP="00AD4B58">
      <w:pPr>
        <w:suppressAutoHyphens/>
      </w:pPr>
    </w:p>
    <w:p w14:paraId="4768E862" w14:textId="77777777" w:rsidR="00C75B69" w:rsidRPr="00804996" w:rsidRDefault="00B46DB0" w:rsidP="00AD4B58">
      <w:pPr>
        <w:suppressAutoHyphens/>
        <w:ind w:left="567" w:hanging="567"/>
        <w:rPr>
          <w:b/>
        </w:rPr>
      </w:pPr>
      <w:r w:rsidRPr="00804996">
        <w:rPr>
          <w:b/>
        </w:rPr>
        <w:t>4.4</w:t>
      </w:r>
      <w:r w:rsidRPr="00804996">
        <w:rPr>
          <w:b/>
        </w:rPr>
        <w:tab/>
        <w:t>Avvertenze speciali e precauzioni di impiego</w:t>
      </w:r>
    </w:p>
    <w:p w14:paraId="1EA7C621" w14:textId="77777777" w:rsidR="00997B4C" w:rsidRPr="00804996" w:rsidRDefault="00997B4C" w:rsidP="00AD4B58">
      <w:pPr>
        <w:suppressAutoHyphens/>
        <w:ind w:left="567" w:hanging="567"/>
      </w:pPr>
    </w:p>
    <w:p w14:paraId="64B8515F" w14:textId="1D37487A" w:rsidR="00B10013" w:rsidRDefault="005C6E31" w:rsidP="00FF3261">
      <w:pPr>
        <w:rPr>
          <w:noProof/>
        </w:rPr>
      </w:pPr>
      <w:r w:rsidRPr="005C6E31">
        <w:rPr>
          <w:noProof/>
        </w:rPr>
        <w:t xml:space="preserve">A causa dei rischi, inclusi gli esiti fatali, associati all’esposizione accidentale, all’uso improprio e all’abuso, è necessario raccomandare ai pazienti e alle persone che li assistono di conservare </w:t>
      </w:r>
      <w:r>
        <w:rPr>
          <w:noProof/>
        </w:rPr>
        <w:t>Sublifen</w:t>
      </w:r>
      <w:r w:rsidRPr="005C6E31">
        <w:rPr>
          <w:noProof/>
        </w:rPr>
        <w:t xml:space="preserve"> in un luogo sicuro e protetto, inaccessibile ad altri.</w:t>
      </w:r>
    </w:p>
    <w:p w14:paraId="5426B564" w14:textId="77777777" w:rsidR="005C6E31" w:rsidRDefault="005C6E31" w:rsidP="00FF3261">
      <w:pPr>
        <w:rPr>
          <w:noProof/>
        </w:rPr>
      </w:pPr>
    </w:p>
    <w:p w14:paraId="2568ACB8" w14:textId="77D941A5" w:rsidR="00FF3261" w:rsidRDefault="00FF3261" w:rsidP="00FF3261">
      <w:pPr>
        <w:rPr>
          <w:noProof/>
        </w:rPr>
      </w:pPr>
      <w:r w:rsidRPr="00FF3261">
        <w:rPr>
          <w:noProof/>
        </w:rPr>
        <w:t xml:space="preserve">I pazienti e coloro che li assistono devono essere informati circa la presenza nel </w:t>
      </w:r>
      <w:r w:rsidR="00C36217">
        <w:rPr>
          <w:noProof/>
        </w:rPr>
        <w:t>Sublifen</w:t>
      </w:r>
      <w:r w:rsidRPr="00FF3261">
        <w:rPr>
          <w:noProof/>
        </w:rPr>
        <w:t xml:space="preserve"> di una</w:t>
      </w:r>
      <w:r w:rsidR="00C36217">
        <w:rPr>
          <w:noProof/>
        </w:rPr>
        <w:t xml:space="preserve"> </w:t>
      </w:r>
      <w:r w:rsidRPr="00FF3261">
        <w:rPr>
          <w:noProof/>
        </w:rPr>
        <w:t>sostanza attiva in quantità tale da essere fatale per un bambino e quindi sulla necessità che tutte le</w:t>
      </w:r>
      <w:r w:rsidR="00C36217">
        <w:rPr>
          <w:noProof/>
        </w:rPr>
        <w:t xml:space="preserve"> </w:t>
      </w:r>
      <w:r w:rsidRPr="00FF3261">
        <w:rPr>
          <w:noProof/>
        </w:rPr>
        <w:t>compresse vengano tenute fuori dalla portata e dalla vista dei bambini.</w:t>
      </w:r>
    </w:p>
    <w:p w14:paraId="3BB6C252" w14:textId="77777777" w:rsidR="00C36217" w:rsidRPr="00FF3261" w:rsidRDefault="00C36217" w:rsidP="00FF3261">
      <w:pPr>
        <w:rPr>
          <w:noProof/>
        </w:rPr>
      </w:pPr>
    </w:p>
    <w:p w14:paraId="6D499575" w14:textId="77777777" w:rsidR="00FF3261" w:rsidRDefault="00FF3261" w:rsidP="00FF3261">
      <w:pPr>
        <w:rPr>
          <w:noProof/>
        </w:rPr>
      </w:pPr>
      <w:r w:rsidRPr="00FF3261">
        <w:rPr>
          <w:noProof/>
        </w:rPr>
        <w:t>A causa degli effetti indesiderati potenzialmente gravi che si possono verificare quando si assume una</w:t>
      </w:r>
      <w:r w:rsidR="00C36217">
        <w:rPr>
          <w:noProof/>
        </w:rPr>
        <w:t xml:space="preserve"> </w:t>
      </w:r>
      <w:r w:rsidRPr="00FF3261">
        <w:rPr>
          <w:noProof/>
        </w:rPr>
        <w:t xml:space="preserve">terapia con un oppiaceo quale il </w:t>
      </w:r>
      <w:r w:rsidR="00C36217">
        <w:rPr>
          <w:noProof/>
        </w:rPr>
        <w:t>Sublifen</w:t>
      </w:r>
      <w:r w:rsidRPr="00FF3261">
        <w:rPr>
          <w:noProof/>
        </w:rPr>
        <w:t>, i pazienti e coloro che li assistono devono essere informati</w:t>
      </w:r>
      <w:r w:rsidR="00C36217">
        <w:rPr>
          <w:noProof/>
        </w:rPr>
        <w:t xml:space="preserve"> dell</w:t>
      </w:r>
      <w:r w:rsidR="00393B71">
        <w:rPr>
          <w:noProof/>
        </w:rPr>
        <w:t>’</w:t>
      </w:r>
      <w:r w:rsidRPr="00FF3261">
        <w:rPr>
          <w:noProof/>
        </w:rPr>
        <w:t xml:space="preserve">importanza di una corretta assunzione del </w:t>
      </w:r>
      <w:r w:rsidR="00BC5BC5">
        <w:rPr>
          <w:noProof/>
        </w:rPr>
        <w:t>Sublifen</w:t>
      </w:r>
      <w:r w:rsidRPr="00FF3261">
        <w:rPr>
          <w:noProof/>
        </w:rPr>
        <w:t xml:space="preserve"> e di quale azione intraprendere in caso di</w:t>
      </w:r>
      <w:r w:rsidR="00C36217">
        <w:rPr>
          <w:noProof/>
        </w:rPr>
        <w:t xml:space="preserve"> </w:t>
      </w:r>
      <w:r w:rsidRPr="00FF3261">
        <w:rPr>
          <w:noProof/>
        </w:rPr>
        <w:t>sintomi da sovradosaggio.</w:t>
      </w:r>
    </w:p>
    <w:p w14:paraId="3AF7A942" w14:textId="77777777" w:rsidR="00C36217" w:rsidRPr="00FF3261" w:rsidRDefault="00C36217" w:rsidP="00FF3261">
      <w:pPr>
        <w:rPr>
          <w:noProof/>
        </w:rPr>
      </w:pPr>
    </w:p>
    <w:p w14:paraId="4A251747" w14:textId="77777777" w:rsidR="00FF3261" w:rsidRDefault="00FF3261" w:rsidP="00FF3261">
      <w:pPr>
        <w:rPr>
          <w:noProof/>
        </w:rPr>
      </w:pPr>
      <w:r w:rsidRPr="00FF3261">
        <w:rPr>
          <w:noProof/>
        </w:rPr>
        <w:t xml:space="preserve">Prima di iniziare la terapia con </w:t>
      </w:r>
      <w:r w:rsidR="00C36217">
        <w:rPr>
          <w:noProof/>
        </w:rPr>
        <w:t>Sublifen</w:t>
      </w:r>
      <w:r w:rsidRPr="00FF3261">
        <w:rPr>
          <w:noProof/>
        </w:rPr>
        <w:t>, è importante che si sia stabilizzato il trattamento</w:t>
      </w:r>
      <w:r w:rsidR="00C36217">
        <w:rPr>
          <w:noProof/>
        </w:rPr>
        <w:t xml:space="preserve"> del paziente</w:t>
      </w:r>
      <w:r w:rsidRPr="00FF3261">
        <w:rPr>
          <w:noProof/>
        </w:rPr>
        <w:t xml:space="preserve"> con oppiacei</w:t>
      </w:r>
      <w:r w:rsidR="00C36217">
        <w:rPr>
          <w:noProof/>
        </w:rPr>
        <w:t xml:space="preserve"> </w:t>
      </w:r>
      <w:r w:rsidRPr="00FF3261">
        <w:rPr>
          <w:noProof/>
        </w:rPr>
        <w:t>a lunga durata di azione per il controllo del dolore persistente.</w:t>
      </w:r>
    </w:p>
    <w:p w14:paraId="0BFAD184" w14:textId="77777777" w:rsidR="00C36217" w:rsidRDefault="00C36217" w:rsidP="00FF3261">
      <w:pPr>
        <w:rPr>
          <w:noProof/>
        </w:rPr>
      </w:pPr>
    </w:p>
    <w:p w14:paraId="30447CD0" w14:textId="65694A11" w:rsidR="00552ACE" w:rsidRPr="00F342A3" w:rsidRDefault="00B10013" w:rsidP="00FF3261">
      <w:pPr>
        <w:rPr>
          <w:noProof/>
          <w:u w:val="single"/>
        </w:rPr>
      </w:pPr>
      <w:r>
        <w:rPr>
          <w:noProof/>
          <w:u w:val="single"/>
        </w:rPr>
        <w:t>Tolleranza e d</w:t>
      </w:r>
      <w:r w:rsidR="00552ACE" w:rsidRPr="00F342A3">
        <w:rPr>
          <w:noProof/>
          <w:u w:val="single"/>
        </w:rPr>
        <w:t xml:space="preserve">isturbo da uso di </w:t>
      </w:r>
      <w:r w:rsidR="000C2485" w:rsidRPr="00F342A3">
        <w:rPr>
          <w:noProof/>
          <w:u w:val="single"/>
        </w:rPr>
        <w:t>oppiodi</w:t>
      </w:r>
      <w:r w:rsidR="00552ACE" w:rsidRPr="00F342A3">
        <w:rPr>
          <w:noProof/>
          <w:u w:val="single"/>
        </w:rPr>
        <w:t xml:space="preserve"> (abuso e dipendenza)</w:t>
      </w:r>
    </w:p>
    <w:p w14:paraId="4E74F275" w14:textId="31A2BB2C" w:rsidR="00FF3261" w:rsidRDefault="00653095" w:rsidP="00FF3261">
      <w:pPr>
        <w:rPr>
          <w:noProof/>
        </w:rPr>
      </w:pPr>
      <w:r>
        <w:rPr>
          <w:noProof/>
        </w:rPr>
        <w:t xml:space="preserve">Ripetute somminisrazioni di oppioidi come </w:t>
      </w:r>
      <w:r w:rsidR="00B10013">
        <w:rPr>
          <w:noProof/>
        </w:rPr>
        <w:t>Sublifen</w:t>
      </w:r>
      <w:r>
        <w:rPr>
          <w:noProof/>
        </w:rPr>
        <w:t xml:space="preserve">possono far sviluppare forme di tollerenza e dipendenza fisica e/o psicologica. </w:t>
      </w:r>
    </w:p>
    <w:p w14:paraId="77864380" w14:textId="77777777" w:rsidR="00BC5BC5" w:rsidRDefault="00BC5BC5" w:rsidP="00FF3261">
      <w:pPr>
        <w:rPr>
          <w:noProof/>
        </w:rPr>
      </w:pPr>
    </w:p>
    <w:p w14:paraId="74D86CE6" w14:textId="23C4DA74" w:rsidR="000C2485" w:rsidRDefault="000C2485" w:rsidP="00FF3261">
      <w:r>
        <w:t>L</w:t>
      </w:r>
      <w:r w:rsidR="00393B71">
        <w:t>’</w:t>
      </w:r>
      <w:r>
        <w:t xml:space="preserve">uso ripetuto di </w:t>
      </w:r>
      <w:r>
        <w:rPr>
          <w:noProof/>
        </w:rPr>
        <w:t>Sublifen</w:t>
      </w:r>
      <w:r w:rsidRPr="00FF3261">
        <w:rPr>
          <w:noProof/>
        </w:rPr>
        <w:t xml:space="preserve"> </w:t>
      </w:r>
      <w:r>
        <w:t>può dare luogo al disturbo da uso di oppioidi (</w:t>
      </w:r>
      <w:proofErr w:type="spellStart"/>
      <w:r>
        <w:t>Opioid</w:t>
      </w:r>
      <w:proofErr w:type="spellEnd"/>
      <w:r>
        <w:t xml:space="preserve"> Use Disorder, OUD). </w:t>
      </w:r>
      <w:r w:rsidR="005C6E31" w:rsidRPr="005C6E31">
        <w:t xml:space="preserve">Una dose più elevata e una durata prolungata del trattamento con oppioidi possono aumentare il </w:t>
      </w:r>
      <w:r w:rsidR="005C6E31">
        <w:t>r</w:t>
      </w:r>
      <w:r w:rsidR="005C6E31" w:rsidRPr="005C6E31">
        <w:t>ischio di sviluppare OUD.</w:t>
      </w:r>
      <w:r w:rsidR="00B10013">
        <w:t xml:space="preserve"> </w:t>
      </w:r>
      <w:r>
        <w:t>L</w:t>
      </w:r>
      <w:r w:rsidR="00393B71">
        <w:t>’</w:t>
      </w:r>
      <w:r>
        <w:t>abuso o l</w:t>
      </w:r>
      <w:r w:rsidR="00393B71">
        <w:t>’</w:t>
      </w:r>
      <w:r>
        <w:t xml:space="preserve">uso errato intenzionale di </w:t>
      </w:r>
      <w:r>
        <w:rPr>
          <w:noProof/>
        </w:rPr>
        <w:t>Sublifen</w:t>
      </w:r>
      <w:r w:rsidRPr="00FF3261">
        <w:rPr>
          <w:noProof/>
        </w:rPr>
        <w:t xml:space="preserve"> </w:t>
      </w:r>
      <w:r>
        <w:t xml:space="preserve">può comportare un sovradosaggio e/o il decesso. Il rischio di sviluppare OUD è maggiore nei pazienti con </w:t>
      </w:r>
      <w:r w:rsidR="00F54D22">
        <w:t>storia personale o familiare</w:t>
      </w:r>
      <w:r>
        <w:t xml:space="preserve"> (genitori o fratelli/sorelle) di disturbi da uso di sostanze (compresi i disturbi da uso di alcol), negli attuali consumatori di tabacco o in pazienti con storia personale di altri disturbi della salute mentale (ad es. depressione maggiore, ansia e disturbi della personalità).</w:t>
      </w:r>
    </w:p>
    <w:p w14:paraId="2DD6A6DF" w14:textId="2A5F481F" w:rsidR="000C2485" w:rsidRDefault="000C2485" w:rsidP="00FF3261"/>
    <w:p w14:paraId="5EFE2595" w14:textId="0333C948" w:rsidR="00B10013" w:rsidRDefault="005C6E31" w:rsidP="00FF3261">
      <w:r w:rsidRPr="005C6E31">
        <w:t xml:space="preserve">Prima di iniziare il trattamento con </w:t>
      </w:r>
      <w:proofErr w:type="spellStart"/>
      <w:r>
        <w:t>Sublifen</w:t>
      </w:r>
      <w:proofErr w:type="spellEnd"/>
      <w:r w:rsidRPr="005C6E31">
        <w:t xml:space="preserve"> e durante il trattamento, è necessario concordare con il paziente gli obiettivi e un piano di interruzione del trattamento (vedere paragrafo 4.2). Prima e durante il trattamento il paziente deve inoltre essere informato in merito ai rischi e ai segni di OUD. Se si manifestano questi segni, i pazienti devono essere avvisati di contattare il medico.</w:t>
      </w:r>
    </w:p>
    <w:p w14:paraId="74BD816E" w14:textId="77777777" w:rsidR="005C6E31" w:rsidRDefault="005C6E31" w:rsidP="00FF3261"/>
    <w:p w14:paraId="1ECC8178" w14:textId="77777777" w:rsidR="000C2485" w:rsidRDefault="000C2485" w:rsidP="00FF3261">
      <w:r>
        <w:t xml:space="preserve">I pazienti dovranno essere monitorati per rilevare eventuali segni di un comportamento di ricerca dei farmaci (ad es. richieste troppo ravvicinate di una nuova fornitura). Ciò include il riesame degli oppioidi concomitanti e dei farmaci psicoattivi (come le benzodiazepine). Per i pazienti con segni e </w:t>
      </w:r>
      <w:r>
        <w:lastRenderedPageBreak/>
        <w:t>sintomi di OUD, si consiglia di prendere in considerazione il consulto con un esperto di problemi di assuefazione.</w:t>
      </w:r>
    </w:p>
    <w:p w14:paraId="268FA4DF" w14:textId="77777777" w:rsidR="000C2485" w:rsidRDefault="000C2485" w:rsidP="00FF3261">
      <w:pPr>
        <w:rPr>
          <w:noProof/>
        </w:rPr>
      </w:pPr>
    </w:p>
    <w:p w14:paraId="6FB4D567" w14:textId="77777777" w:rsidR="00552ACE" w:rsidRPr="00552ACE" w:rsidRDefault="00552ACE" w:rsidP="00FF3261">
      <w:pPr>
        <w:rPr>
          <w:noProof/>
          <w:u w:val="single"/>
        </w:rPr>
      </w:pPr>
      <w:r w:rsidRPr="00552ACE">
        <w:rPr>
          <w:noProof/>
          <w:u w:val="single"/>
        </w:rPr>
        <w:t>Depressione respiratoria</w:t>
      </w:r>
    </w:p>
    <w:p w14:paraId="076BBAD2" w14:textId="77777777" w:rsidR="00FF3261" w:rsidRDefault="00552ACE" w:rsidP="00FF3261">
      <w:pPr>
        <w:rPr>
          <w:noProof/>
        </w:rPr>
      </w:pPr>
      <w:r>
        <w:rPr>
          <w:noProof/>
        </w:rPr>
        <w:t>Come per tutti gli oppiacei, l</w:t>
      </w:r>
      <w:r w:rsidR="00393B71">
        <w:rPr>
          <w:noProof/>
        </w:rPr>
        <w:t>’</w:t>
      </w:r>
      <w:r w:rsidR="00FF3261" w:rsidRPr="00FF3261">
        <w:rPr>
          <w:noProof/>
        </w:rPr>
        <w:t xml:space="preserve">uso del </w:t>
      </w:r>
      <w:r>
        <w:rPr>
          <w:noProof/>
        </w:rPr>
        <w:t>Sublifen</w:t>
      </w:r>
      <w:r w:rsidR="00FF3261" w:rsidRPr="00FF3261">
        <w:rPr>
          <w:noProof/>
        </w:rPr>
        <w:t xml:space="preserve"> è associato a rischio di depressione respiratoria</w:t>
      </w:r>
      <w:r>
        <w:rPr>
          <w:noProof/>
        </w:rPr>
        <w:t xml:space="preserve"> </w:t>
      </w:r>
      <w:r w:rsidR="00FF3261" w:rsidRPr="00FF3261">
        <w:rPr>
          <w:noProof/>
        </w:rPr>
        <w:t xml:space="preserve">clinicamente significativa. Si deve usare particolare cautela durante la titolazione della dose di </w:t>
      </w:r>
      <w:r>
        <w:rPr>
          <w:noProof/>
        </w:rPr>
        <w:t xml:space="preserve">Sublifen </w:t>
      </w:r>
      <w:r w:rsidR="00FF3261" w:rsidRPr="00FF3261">
        <w:rPr>
          <w:noProof/>
        </w:rPr>
        <w:t>in pazienti con broncopneumopatia cronica ostruttiva o altre patologie che predispongono a</w:t>
      </w:r>
      <w:r>
        <w:rPr>
          <w:noProof/>
        </w:rPr>
        <w:t xml:space="preserve"> </w:t>
      </w:r>
      <w:r w:rsidR="00FF3261" w:rsidRPr="00FF3261">
        <w:rPr>
          <w:noProof/>
        </w:rPr>
        <w:t>depressione respiratoria (ad es. miastenia gravis) a causa del rischio di ulteriore depressione</w:t>
      </w:r>
      <w:r>
        <w:rPr>
          <w:noProof/>
        </w:rPr>
        <w:t xml:space="preserve"> </w:t>
      </w:r>
      <w:r w:rsidR="00FF3261" w:rsidRPr="00FF3261">
        <w:rPr>
          <w:noProof/>
        </w:rPr>
        <w:t>respiratoria, che potrebbe causare insufficienza respiratoria.</w:t>
      </w:r>
    </w:p>
    <w:p w14:paraId="4AEABB11" w14:textId="77777777" w:rsidR="00552ACE" w:rsidRDefault="00552ACE" w:rsidP="00FF3261">
      <w:pPr>
        <w:rPr>
          <w:noProof/>
        </w:rPr>
      </w:pPr>
    </w:p>
    <w:p w14:paraId="2A175E88" w14:textId="77777777" w:rsidR="00552ACE" w:rsidRPr="00552ACE" w:rsidRDefault="00552ACE" w:rsidP="00FF3261">
      <w:pPr>
        <w:rPr>
          <w:noProof/>
          <w:u w:val="single"/>
        </w:rPr>
      </w:pPr>
      <w:r w:rsidRPr="00552ACE">
        <w:rPr>
          <w:noProof/>
          <w:u w:val="single"/>
        </w:rPr>
        <w:t>Aumen</w:t>
      </w:r>
      <w:r>
        <w:rPr>
          <w:noProof/>
          <w:u w:val="single"/>
        </w:rPr>
        <w:t>to della pressione intracranica</w:t>
      </w:r>
    </w:p>
    <w:p w14:paraId="5D925BB3" w14:textId="4D216224" w:rsidR="00FF3261" w:rsidRDefault="00552ACE" w:rsidP="00FF3261">
      <w:pPr>
        <w:rPr>
          <w:noProof/>
        </w:rPr>
      </w:pPr>
      <w:r>
        <w:rPr>
          <w:noProof/>
        </w:rPr>
        <w:t>Sublifen</w:t>
      </w:r>
      <w:r w:rsidRPr="00FF3261">
        <w:rPr>
          <w:noProof/>
        </w:rPr>
        <w:t xml:space="preserve"> </w:t>
      </w:r>
      <w:r w:rsidR="00FF3261" w:rsidRPr="00FF3261">
        <w:rPr>
          <w:noProof/>
        </w:rPr>
        <w:t>deve essere somministrato solo con estrema cautela nei pazienti particolarmente suscettibili</w:t>
      </w:r>
      <w:r>
        <w:rPr>
          <w:noProof/>
        </w:rPr>
        <w:t xml:space="preserve"> </w:t>
      </w:r>
      <w:r w:rsidR="00FF3261" w:rsidRPr="00FF3261">
        <w:rPr>
          <w:noProof/>
        </w:rPr>
        <w:t xml:space="preserve">agli effetti intracranici della ipercapnia, ovvero in coloro </w:t>
      </w:r>
      <w:r w:rsidR="00553C5B">
        <w:rPr>
          <w:noProof/>
        </w:rPr>
        <w:t>i</w:t>
      </w:r>
      <w:r w:rsidR="00553C5B" w:rsidRPr="00FF3261">
        <w:rPr>
          <w:noProof/>
        </w:rPr>
        <w:t xml:space="preserve"> </w:t>
      </w:r>
      <w:r w:rsidR="00FF3261" w:rsidRPr="00FF3261">
        <w:rPr>
          <w:noProof/>
        </w:rPr>
        <w:t>quali appare evidente un aumento della</w:t>
      </w:r>
      <w:r>
        <w:rPr>
          <w:noProof/>
        </w:rPr>
        <w:t xml:space="preserve"> </w:t>
      </w:r>
      <w:r w:rsidR="00FF3261" w:rsidRPr="00FF3261">
        <w:rPr>
          <w:noProof/>
        </w:rPr>
        <w:t>pressione intracranica, uno stato di coscienza alterato, coma o tumori cerebrali. In pazienti con lesioni</w:t>
      </w:r>
      <w:r>
        <w:rPr>
          <w:noProof/>
        </w:rPr>
        <w:t xml:space="preserve"> </w:t>
      </w:r>
      <w:r w:rsidR="00FF3261" w:rsidRPr="00FF3261">
        <w:rPr>
          <w:noProof/>
        </w:rPr>
        <w:t>alla testa, il decorso clinico potrebbe essere occul</w:t>
      </w:r>
      <w:r>
        <w:rPr>
          <w:noProof/>
        </w:rPr>
        <w:t>tato dall</w:t>
      </w:r>
      <w:r w:rsidR="00393B71">
        <w:rPr>
          <w:noProof/>
        </w:rPr>
        <w:t>’</w:t>
      </w:r>
      <w:r w:rsidR="00FF3261" w:rsidRPr="00FF3261">
        <w:rPr>
          <w:noProof/>
        </w:rPr>
        <w:t>uso di oppiacei. In tale evenienza, occorre</w:t>
      </w:r>
      <w:r>
        <w:rPr>
          <w:noProof/>
        </w:rPr>
        <w:t xml:space="preserve"> </w:t>
      </w:r>
      <w:r w:rsidR="00FF3261" w:rsidRPr="00FF3261">
        <w:rPr>
          <w:noProof/>
        </w:rPr>
        <w:t>usare gli oppiacei solo in caso di assoluta necessità.</w:t>
      </w:r>
      <w:r>
        <w:rPr>
          <w:noProof/>
        </w:rPr>
        <w:t xml:space="preserve"> </w:t>
      </w:r>
    </w:p>
    <w:p w14:paraId="52D4C921" w14:textId="77777777" w:rsidR="00552ACE" w:rsidRDefault="00552ACE" w:rsidP="00FF3261">
      <w:pPr>
        <w:rPr>
          <w:noProof/>
        </w:rPr>
      </w:pPr>
    </w:p>
    <w:p w14:paraId="4834CE6E" w14:textId="77777777" w:rsidR="00552ACE" w:rsidRPr="00552ACE" w:rsidRDefault="00552ACE" w:rsidP="00FF3261">
      <w:pPr>
        <w:rPr>
          <w:noProof/>
          <w:u w:val="single"/>
        </w:rPr>
      </w:pPr>
      <w:r w:rsidRPr="00552ACE">
        <w:rPr>
          <w:noProof/>
          <w:u w:val="single"/>
        </w:rPr>
        <w:t>Iperalgesia</w:t>
      </w:r>
    </w:p>
    <w:p w14:paraId="2CE02AD4" w14:textId="77777777" w:rsidR="00FF3261" w:rsidRPr="00552ACE" w:rsidRDefault="00FF3261" w:rsidP="00FF3261">
      <w:pPr>
        <w:rPr>
          <w:noProof/>
        </w:rPr>
      </w:pPr>
      <w:r w:rsidRPr="00FF3261">
        <w:rPr>
          <w:noProof/>
        </w:rPr>
        <w:t>Come con altri oppioidi, in caso di un controllo del dolore insufficiente a seguito di aumenti di dosi di</w:t>
      </w:r>
      <w:r w:rsidR="00552ACE">
        <w:rPr>
          <w:noProof/>
        </w:rPr>
        <w:t xml:space="preserve"> </w:t>
      </w:r>
      <w:r w:rsidRPr="00FF3261">
        <w:rPr>
          <w:noProof/>
        </w:rPr>
        <w:t>fentanil, deve essere presa in considerazione la possibilità di iperalgesia indotta da oppioidi. Può</w:t>
      </w:r>
      <w:r w:rsidR="00552ACE">
        <w:rPr>
          <w:noProof/>
        </w:rPr>
        <w:t xml:space="preserve"> </w:t>
      </w:r>
      <w:r w:rsidRPr="00FF3261">
        <w:rPr>
          <w:noProof/>
        </w:rPr>
        <w:t>essere indicata una riduzione della dose di fentanil o la sospensione o revisione del trattamento con</w:t>
      </w:r>
      <w:r w:rsidR="00552ACE">
        <w:rPr>
          <w:noProof/>
        </w:rPr>
        <w:t xml:space="preserve"> </w:t>
      </w:r>
      <w:r w:rsidRPr="00FF3261">
        <w:rPr>
          <w:noProof/>
        </w:rPr>
        <w:t>fentanil</w:t>
      </w:r>
      <w:r w:rsidR="00552ACE" w:rsidRPr="00D0367B">
        <w:rPr>
          <w:noProof/>
        </w:rPr>
        <w:t>.</w:t>
      </w:r>
    </w:p>
    <w:p w14:paraId="2ED7CAD4" w14:textId="77777777" w:rsidR="00FF3261" w:rsidRDefault="00FF3261" w:rsidP="0073066D">
      <w:pPr>
        <w:rPr>
          <w:noProof/>
          <w:u w:val="single"/>
        </w:rPr>
      </w:pPr>
    </w:p>
    <w:p w14:paraId="278CE941" w14:textId="77777777" w:rsidR="00552ACE" w:rsidRPr="00552ACE" w:rsidRDefault="00552ACE" w:rsidP="00552ACE">
      <w:pPr>
        <w:rPr>
          <w:noProof/>
          <w:u w:val="single"/>
        </w:rPr>
      </w:pPr>
      <w:r w:rsidRPr="00552ACE">
        <w:rPr>
          <w:noProof/>
          <w:u w:val="single"/>
        </w:rPr>
        <w:t>Cardiopatia</w:t>
      </w:r>
    </w:p>
    <w:p w14:paraId="63DD2BF7" w14:textId="77777777" w:rsidR="00552ACE" w:rsidRDefault="00552ACE" w:rsidP="00552ACE">
      <w:pPr>
        <w:rPr>
          <w:noProof/>
        </w:rPr>
      </w:pPr>
      <w:r w:rsidRPr="00552ACE">
        <w:rPr>
          <w:noProof/>
        </w:rPr>
        <w:t>Fentanil può produrre bradicardia. Fentanil deve essere usato con cautela in pazienti con bradiaritmie</w:t>
      </w:r>
      <w:r>
        <w:rPr>
          <w:noProof/>
        </w:rPr>
        <w:t xml:space="preserve"> </w:t>
      </w:r>
      <w:r w:rsidRPr="00552ACE">
        <w:rPr>
          <w:noProof/>
        </w:rPr>
        <w:t>precedenti o in corso.</w:t>
      </w:r>
    </w:p>
    <w:p w14:paraId="36EC9C44" w14:textId="77777777" w:rsidR="00552ACE" w:rsidRDefault="00552ACE" w:rsidP="00552ACE">
      <w:pPr>
        <w:rPr>
          <w:noProof/>
        </w:rPr>
      </w:pPr>
    </w:p>
    <w:p w14:paraId="2E33A802" w14:textId="1480A75B" w:rsidR="00552ACE" w:rsidRPr="00552ACE" w:rsidRDefault="00552ACE" w:rsidP="00552ACE">
      <w:pPr>
        <w:rPr>
          <w:noProof/>
          <w:u w:val="single"/>
        </w:rPr>
      </w:pPr>
      <w:r w:rsidRPr="00552ACE">
        <w:rPr>
          <w:noProof/>
          <w:u w:val="single"/>
        </w:rPr>
        <w:t xml:space="preserve">Pazienti anziani, cachettici </w:t>
      </w:r>
      <w:r w:rsidR="006B2E15">
        <w:rPr>
          <w:noProof/>
          <w:u w:val="single"/>
        </w:rPr>
        <w:t>e</w:t>
      </w:r>
      <w:r w:rsidRPr="00552ACE">
        <w:rPr>
          <w:noProof/>
          <w:u w:val="single"/>
        </w:rPr>
        <w:t xml:space="preserve"> debilitati</w:t>
      </w:r>
    </w:p>
    <w:p w14:paraId="218C4039" w14:textId="26A1146B" w:rsidR="00552ACE" w:rsidRDefault="00552ACE" w:rsidP="00552ACE">
      <w:pPr>
        <w:rPr>
          <w:noProof/>
        </w:rPr>
      </w:pPr>
      <w:r w:rsidRPr="00552ACE">
        <w:rPr>
          <w:noProof/>
        </w:rPr>
        <w:t>I dati provenienti da studi relativi all</w:t>
      </w:r>
      <w:r w:rsidR="00393B71">
        <w:rPr>
          <w:noProof/>
        </w:rPr>
        <w:t>’</w:t>
      </w:r>
      <w:r w:rsidRPr="00552ACE">
        <w:rPr>
          <w:noProof/>
        </w:rPr>
        <w:t>uso endovenoso del fentanil indicano che i pazienti anziani</w:t>
      </w:r>
      <w:r>
        <w:rPr>
          <w:noProof/>
        </w:rPr>
        <w:t xml:space="preserve"> </w:t>
      </w:r>
      <w:r w:rsidRPr="00552ACE">
        <w:rPr>
          <w:noProof/>
        </w:rPr>
        <w:t>possono mostrare ridotta clearance ed emivita prolungata e possono essere più sensibili alla sostanza</w:t>
      </w:r>
      <w:r>
        <w:rPr>
          <w:noProof/>
        </w:rPr>
        <w:t xml:space="preserve"> </w:t>
      </w:r>
      <w:r w:rsidRPr="00552ACE">
        <w:rPr>
          <w:noProof/>
        </w:rPr>
        <w:t>attiva rispetto ai pazienti più giovani. I pazienti anziani, cachettici o debilitati, devono essere tenuti</w:t>
      </w:r>
      <w:r w:rsidR="006B2E15">
        <w:rPr>
          <w:noProof/>
        </w:rPr>
        <w:t xml:space="preserve"> </w:t>
      </w:r>
      <w:r w:rsidRPr="00552ACE">
        <w:rPr>
          <w:noProof/>
        </w:rPr>
        <w:t>sotto attenta osservazione per manifestazioni di tossicità da fentanil e, se necessario, le dosi devono</w:t>
      </w:r>
      <w:r>
        <w:rPr>
          <w:noProof/>
        </w:rPr>
        <w:t xml:space="preserve"> </w:t>
      </w:r>
      <w:r w:rsidRPr="00552ACE">
        <w:rPr>
          <w:noProof/>
        </w:rPr>
        <w:t>essere ridotte.</w:t>
      </w:r>
    </w:p>
    <w:p w14:paraId="1C889CFB" w14:textId="77777777" w:rsidR="004662D8" w:rsidRDefault="004662D8" w:rsidP="00552ACE">
      <w:pPr>
        <w:rPr>
          <w:noProof/>
        </w:rPr>
      </w:pPr>
    </w:p>
    <w:p w14:paraId="556B76A4" w14:textId="3BF59153" w:rsidR="006B2E15" w:rsidRPr="006B2E15" w:rsidRDefault="006B2E15" w:rsidP="00552ACE">
      <w:pPr>
        <w:rPr>
          <w:noProof/>
          <w:u w:val="single"/>
        </w:rPr>
      </w:pPr>
      <w:r w:rsidRPr="006B2E15">
        <w:rPr>
          <w:noProof/>
          <w:u w:val="single"/>
        </w:rPr>
        <w:t>Compromessa funzionalità epatica o renale</w:t>
      </w:r>
    </w:p>
    <w:p w14:paraId="1D4553D7" w14:textId="0B5EFC1A" w:rsidR="00552ACE" w:rsidRDefault="004662D8" w:rsidP="00552ACE">
      <w:pPr>
        <w:rPr>
          <w:noProof/>
        </w:rPr>
      </w:pPr>
      <w:r>
        <w:rPr>
          <w:noProof/>
        </w:rPr>
        <w:t>Sublifen</w:t>
      </w:r>
      <w:r w:rsidR="00552ACE" w:rsidRPr="00552ACE">
        <w:rPr>
          <w:noProof/>
        </w:rPr>
        <w:t xml:space="preserve"> deve essere somministrato con cautela nei pazienti con disfunzione epatica o renale,</w:t>
      </w:r>
      <w:r w:rsidR="00EB154B">
        <w:rPr>
          <w:noProof/>
        </w:rPr>
        <w:t xml:space="preserve"> </w:t>
      </w:r>
      <w:r w:rsidR="00552ACE" w:rsidRPr="00552ACE">
        <w:rPr>
          <w:noProof/>
        </w:rPr>
        <w:t>specialmente durante la fase di titolazione. L</w:t>
      </w:r>
      <w:r w:rsidR="00393B71">
        <w:rPr>
          <w:noProof/>
        </w:rPr>
        <w:t>’</w:t>
      </w:r>
      <w:r w:rsidR="00552ACE" w:rsidRPr="00552ACE">
        <w:rPr>
          <w:noProof/>
        </w:rPr>
        <w:t xml:space="preserve">uso di </w:t>
      </w:r>
      <w:r>
        <w:rPr>
          <w:noProof/>
        </w:rPr>
        <w:t>Sublifen</w:t>
      </w:r>
      <w:r w:rsidRPr="00552ACE">
        <w:rPr>
          <w:noProof/>
        </w:rPr>
        <w:t xml:space="preserve"> </w:t>
      </w:r>
      <w:r w:rsidR="00552ACE" w:rsidRPr="00552ACE">
        <w:rPr>
          <w:noProof/>
        </w:rPr>
        <w:t xml:space="preserve">in pazienti con </w:t>
      </w:r>
      <w:r>
        <w:rPr>
          <w:noProof/>
        </w:rPr>
        <w:t>compromissione</w:t>
      </w:r>
      <w:r w:rsidR="00552ACE" w:rsidRPr="00552ACE">
        <w:rPr>
          <w:noProof/>
        </w:rPr>
        <w:t xml:space="preserve"> epatica o</w:t>
      </w:r>
      <w:r>
        <w:rPr>
          <w:noProof/>
        </w:rPr>
        <w:t xml:space="preserve"> </w:t>
      </w:r>
      <w:r w:rsidR="00552ACE" w:rsidRPr="00552ACE">
        <w:rPr>
          <w:noProof/>
        </w:rPr>
        <w:t>renale può aumentare la biodisponibilità di fentanil e ridurne la clearance sistemica, con conseguente</w:t>
      </w:r>
      <w:r>
        <w:rPr>
          <w:noProof/>
        </w:rPr>
        <w:t xml:space="preserve"> </w:t>
      </w:r>
      <w:r w:rsidR="00552ACE" w:rsidRPr="00552ACE">
        <w:rPr>
          <w:noProof/>
        </w:rPr>
        <w:t>accumulo e aumento o prolungamento degli effetti oppiacei.</w:t>
      </w:r>
    </w:p>
    <w:p w14:paraId="07AE2DDC" w14:textId="77777777" w:rsidR="004662D8" w:rsidRDefault="004662D8" w:rsidP="00552ACE">
      <w:pPr>
        <w:rPr>
          <w:noProof/>
        </w:rPr>
      </w:pPr>
    </w:p>
    <w:p w14:paraId="402200BA" w14:textId="77777777" w:rsidR="004662D8" w:rsidRPr="004662D8" w:rsidRDefault="004662D8" w:rsidP="00552ACE">
      <w:pPr>
        <w:rPr>
          <w:noProof/>
          <w:u w:val="single"/>
        </w:rPr>
      </w:pPr>
      <w:r w:rsidRPr="004662D8">
        <w:rPr>
          <w:noProof/>
          <w:u w:val="single"/>
        </w:rPr>
        <w:t>Ipovolemia e ipotensione</w:t>
      </w:r>
    </w:p>
    <w:p w14:paraId="7382B510" w14:textId="77777777" w:rsidR="00552ACE" w:rsidRDefault="00552ACE" w:rsidP="00552ACE">
      <w:pPr>
        <w:rPr>
          <w:noProof/>
        </w:rPr>
      </w:pPr>
      <w:r w:rsidRPr="00552ACE">
        <w:rPr>
          <w:noProof/>
        </w:rPr>
        <w:t>Si deve prestare attenzione nel trattamento di pazienti con ipovolemia e ipotensione.</w:t>
      </w:r>
    </w:p>
    <w:p w14:paraId="78690A50" w14:textId="77777777" w:rsidR="004662D8" w:rsidRDefault="004662D8" w:rsidP="00552ACE">
      <w:pPr>
        <w:rPr>
          <w:noProof/>
        </w:rPr>
      </w:pPr>
    </w:p>
    <w:p w14:paraId="70BDA7A7" w14:textId="77777777" w:rsidR="004662D8" w:rsidRPr="004662D8" w:rsidRDefault="004662D8" w:rsidP="00552ACE">
      <w:pPr>
        <w:rPr>
          <w:noProof/>
          <w:u w:val="single"/>
        </w:rPr>
      </w:pPr>
      <w:r w:rsidRPr="004662D8">
        <w:rPr>
          <w:noProof/>
          <w:u w:val="single"/>
        </w:rPr>
        <w:t>Uso in pazienti con lesioni orali o mucosite</w:t>
      </w:r>
    </w:p>
    <w:p w14:paraId="36D5B6F7" w14:textId="77777777" w:rsidR="00FF3261" w:rsidRPr="00552ACE" w:rsidRDefault="004662D8" w:rsidP="00552ACE">
      <w:pPr>
        <w:rPr>
          <w:noProof/>
        </w:rPr>
      </w:pPr>
      <w:r>
        <w:rPr>
          <w:noProof/>
        </w:rPr>
        <w:t>Sublifen</w:t>
      </w:r>
      <w:r w:rsidR="00552ACE" w:rsidRPr="00552ACE">
        <w:rPr>
          <w:noProof/>
        </w:rPr>
        <w:t xml:space="preserve"> non è stato studiato in pazienti con lesioni orali o mucosite. In tali pazienti può esistere il</w:t>
      </w:r>
      <w:r>
        <w:rPr>
          <w:noProof/>
        </w:rPr>
        <w:t xml:space="preserve"> </w:t>
      </w:r>
      <w:r w:rsidR="00552ACE" w:rsidRPr="00552ACE">
        <w:rPr>
          <w:noProof/>
        </w:rPr>
        <w:t>rischio di una maggiore esposizione sistemica del farmaco e quindi si raccomanda una particolare</w:t>
      </w:r>
      <w:r>
        <w:rPr>
          <w:noProof/>
        </w:rPr>
        <w:t xml:space="preserve"> </w:t>
      </w:r>
      <w:r w:rsidR="00552ACE" w:rsidRPr="00552ACE">
        <w:rPr>
          <w:noProof/>
        </w:rPr>
        <w:t>cautela durante la titolazione</w:t>
      </w:r>
      <w:r>
        <w:rPr>
          <w:noProof/>
        </w:rPr>
        <w:t>.</w:t>
      </w:r>
    </w:p>
    <w:p w14:paraId="3FD900F7" w14:textId="77777777" w:rsidR="00FF3261" w:rsidRDefault="00FF3261" w:rsidP="0073066D">
      <w:pPr>
        <w:rPr>
          <w:noProof/>
        </w:rPr>
      </w:pPr>
    </w:p>
    <w:p w14:paraId="0306D867" w14:textId="77777777" w:rsidR="004662D8" w:rsidRPr="004662D8" w:rsidRDefault="004662D8" w:rsidP="0073066D">
      <w:pPr>
        <w:rPr>
          <w:noProof/>
          <w:u w:val="single"/>
        </w:rPr>
      </w:pPr>
      <w:r w:rsidRPr="004662D8">
        <w:rPr>
          <w:noProof/>
          <w:u w:val="single"/>
        </w:rPr>
        <w:t>Sospensione del trattamento con Sublifen</w:t>
      </w:r>
    </w:p>
    <w:p w14:paraId="38A8A4A3" w14:textId="77777777" w:rsidR="004662D8" w:rsidRDefault="004662D8" w:rsidP="004662D8">
      <w:pPr>
        <w:rPr>
          <w:noProof/>
        </w:rPr>
      </w:pPr>
      <w:r w:rsidRPr="004662D8">
        <w:rPr>
          <w:noProof/>
        </w:rPr>
        <w:t xml:space="preserve">Non dovrebbero insorgere evidenti effetti causati dalla cessazione del trattamento con </w:t>
      </w:r>
      <w:r>
        <w:rPr>
          <w:noProof/>
        </w:rPr>
        <w:t>Sublifen</w:t>
      </w:r>
      <w:r w:rsidRPr="004662D8">
        <w:rPr>
          <w:noProof/>
        </w:rPr>
        <w:t>, ma</w:t>
      </w:r>
      <w:r>
        <w:rPr>
          <w:noProof/>
        </w:rPr>
        <w:t xml:space="preserve"> </w:t>
      </w:r>
      <w:r w:rsidRPr="004662D8">
        <w:rPr>
          <w:noProof/>
        </w:rPr>
        <w:t>possibili sintomi di astinenza sono ansia, tremore, sudorazione, pallore, nausea e vomito.</w:t>
      </w:r>
    </w:p>
    <w:p w14:paraId="38C0C40E" w14:textId="77777777" w:rsidR="004662D8" w:rsidRPr="004662D8" w:rsidRDefault="004662D8" w:rsidP="004662D8">
      <w:pPr>
        <w:rPr>
          <w:noProof/>
        </w:rPr>
      </w:pPr>
    </w:p>
    <w:p w14:paraId="562E1876" w14:textId="77777777" w:rsidR="004662D8" w:rsidRPr="004662D8" w:rsidRDefault="004662D8" w:rsidP="004662D8">
      <w:pPr>
        <w:rPr>
          <w:noProof/>
          <w:u w:val="single"/>
        </w:rPr>
      </w:pPr>
      <w:r w:rsidRPr="004662D8">
        <w:rPr>
          <w:noProof/>
          <w:u w:val="single"/>
        </w:rPr>
        <w:t>Sindrome serotoninergica</w:t>
      </w:r>
    </w:p>
    <w:p w14:paraId="416D5CBB" w14:textId="77777777" w:rsidR="004662D8" w:rsidRDefault="004662D8" w:rsidP="004662D8">
      <w:pPr>
        <w:rPr>
          <w:noProof/>
        </w:rPr>
      </w:pPr>
      <w:r w:rsidRPr="004662D8">
        <w:rPr>
          <w:noProof/>
        </w:rPr>
        <w:t xml:space="preserve">Si consiglia cautela quando </w:t>
      </w:r>
      <w:r>
        <w:rPr>
          <w:noProof/>
        </w:rPr>
        <w:t>Sublifen</w:t>
      </w:r>
      <w:r w:rsidRPr="00552ACE">
        <w:rPr>
          <w:noProof/>
        </w:rPr>
        <w:t xml:space="preserve"> </w:t>
      </w:r>
      <w:r w:rsidRPr="004662D8">
        <w:rPr>
          <w:noProof/>
        </w:rPr>
        <w:t>viene somministrato in concomitanza con farmaci che</w:t>
      </w:r>
      <w:r>
        <w:rPr>
          <w:noProof/>
        </w:rPr>
        <w:t xml:space="preserve"> </w:t>
      </w:r>
      <w:r w:rsidRPr="004662D8">
        <w:rPr>
          <w:noProof/>
        </w:rPr>
        <w:t>influenzano i sistemi di neurotrasmissione serotoninergica.</w:t>
      </w:r>
    </w:p>
    <w:p w14:paraId="1B8B410F" w14:textId="77777777" w:rsidR="004662D8" w:rsidRPr="004662D8" w:rsidRDefault="004662D8" w:rsidP="004662D8">
      <w:pPr>
        <w:rPr>
          <w:noProof/>
        </w:rPr>
      </w:pPr>
    </w:p>
    <w:p w14:paraId="484BAF18" w14:textId="77777777" w:rsidR="004662D8" w:rsidRDefault="004662D8" w:rsidP="004662D8">
      <w:pPr>
        <w:rPr>
          <w:noProof/>
        </w:rPr>
      </w:pPr>
      <w:r w:rsidRPr="004662D8">
        <w:rPr>
          <w:noProof/>
        </w:rPr>
        <w:lastRenderedPageBreak/>
        <w:t>Con l</w:t>
      </w:r>
      <w:r w:rsidR="00393B71">
        <w:rPr>
          <w:noProof/>
        </w:rPr>
        <w:t>’</w:t>
      </w:r>
      <w:r w:rsidRPr="004662D8">
        <w:rPr>
          <w:noProof/>
        </w:rPr>
        <w:t>uso concomitante di farmaci serotoninergici quali gli Inibitori Selettivi della Ricaptazione della</w:t>
      </w:r>
      <w:r>
        <w:rPr>
          <w:noProof/>
        </w:rPr>
        <w:t xml:space="preserve"> </w:t>
      </w:r>
      <w:r w:rsidRPr="004662D8">
        <w:rPr>
          <w:noProof/>
        </w:rPr>
        <w:t>Serotonina (SSRI) e gli Inibitori della Ricaptazione della Serotonina-Norepinefrina (SNRI), e con</w:t>
      </w:r>
      <w:r>
        <w:rPr>
          <w:noProof/>
        </w:rPr>
        <w:t xml:space="preserve"> </w:t>
      </w:r>
      <w:r w:rsidRPr="004662D8">
        <w:rPr>
          <w:noProof/>
        </w:rPr>
        <w:t>farmaci che compromettono metabolismo della serotonina (inclusi gli Inibitori delle Monoamino</w:t>
      </w:r>
      <w:r>
        <w:rPr>
          <w:noProof/>
        </w:rPr>
        <w:t xml:space="preserve"> </w:t>
      </w:r>
      <w:r w:rsidRPr="004662D8">
        <w:rPr>
          <w:noProof/>
        </w:rPr>
        <w:t>Ossidasi [IMAO]) può verificarsi sviluppo di una sindrome serotoninergica potenzialmente pericolosa</w:t>
      </w:r>
      <w:r>
        <w:rPr>
          <w:noProof/>
        </w:rPr>
        <w:t xml:space="preserve"> </w:t>
      </w:r>
      <w:r w:rsidRPr="004662D8">
        <w:rPr>
          <w:noProof/>
        </w:rPr>
        <w:t>per la vita. Questa può verificarsi nell</w:t>
      </w:r>
      <w:r w:rsidR="00393B71">
        <w:rPr>
          <w:noProof/>
        </w:rPr>
        <w:t>’</w:t>
      </w:r>
      <w:r w:rsidRPr="004662D8">
        <w:rPr>
          <w:noProof/>
        </w:rPr>
        <w:t>ambito delle dosi raccomandate.</w:t>
      </w:r>
    </w:p>
    <w:p w14:paraId="1A8912F9" w14:textId="77777777" w:rsidR="004662D8" w:rsidRPr="004662D8" w:rsidRDefault="004662D8" w:rsidP="004662D8">
      <w:pPr>
        <w:rPr>
          <w:noProof/>
        </w:rPr>
      </w:pPr>
    </w:p>
    <w:p w14:paraId="17A99979" w14:textId="77777777" w:rsidR="004662D8" w:rsidRDefault="004662D8" w:rsidP="004662D8">
      <w:pPr>
        <w:rPr>
          <w:noProof/>
        </w:rPr>
      </w:pPr>
      <w:r w:rsidRPr="004662D8">
        <w:rPr>
          <w:noProof/>
        </w:rPr>
        <w:t>La sindrome serotoninergica può includere alterazioni dello stato mentale (ad es. agitazione,</w:t>
      </w:r>
      <w:r>
        <w:rPr>
          <w:noProof/>
        </w:rPr>
        <w:t xml:space="preserve"> </w:t>
      </w:r>
      <w:r w:rsidRPr="004662D8">
        <w:rPr>
          <w:noProof/>
        </w:rPr>
        <w:t>allucinazioni, coma), instabilità autonomica (ad es. tachicardia, pressione arteriosa labile, ipertermia),</w:t>
      </w:r>
      <w:r>
        <w:rPr>
          <w:noProof/>
        </w:rPr>
        <w:t xml:space="preserve"> </w:t>
      </w:r>
      <w:r w:rsidRPr="004662D8">
        <w:rPr>
          <w:noProof/>
        </w:rPr>
        <w:t>anormalità neuromuscolari (ad es. iperriflessia, mancanza di coordinamento, rigidità) e/o sintomi</w:t>
      </w:r>
      <w:r>
        <w:rPr>
          <w:noProof/>
        </w:rPr>
        <w:t xml:space="preserve"> </w:t>
      </w:r>
      <w:r w:rsidRPr="004662D8">
        <w:rPr>
          <w:noProof/>
        </w:rPr>
        <w:t>gastrointestinali (ad es. nausea, vomito, diarrea).</w:t>
      </w:r>
    </w:p>
    <w:p w14:paraId="60718794" w14:textId="77777777" w:rsidR="004662D8" w:rsidRPr="004662D8" w:rsidRDefault="004662D8" w:rsidP="004662D8">
      <w:pPr>
        <w:rPr>
          <w:noProof/>
        </w:rPr>
      </w:pPr>
    </w:p>
    <w:p w14:paraId="7E6B23AF" w14:textId="77777777" w:rsidR="00FF3261" w:rsidRPr="004662D8" w:rsidRDefault="004662D8" w:rsidP="004662D8">
      <w:pPr>
        <w:rPr>
          <w:noProof/>
        </w:rPr>
      </w:pPr>
      <w:r w:rsidRPr="004662D8">
        <w:rPr>
          <w:noProof/>
        </w:rPr>
        <w:t xml:space="preserve">Se si sospetta una sindrome serotoninergica, il trattamento con </w:t>
      </w:r>
      <w:r>
        <w:rPr>
          <w:noProof/>
        </w:rPr>
        <w:t>Sublifen</w:t>
      </w:r>
      <w:r w:rsidRPr="004662D8">
        <w:rPr>
          <w:noProof/>
        </w:rPr>
        <w:t xml:space="preserve"> deve essere interrotto.</w:t>
      </w:r>
    </w:p>
    <w:p w14:paraId="6F44F87E" w14:textId="77777777" w:rsidR="00FF3261" w:rsidRDefault="00FF3261" w:rsidP="0073066D">
      <w:pPr>
        <w:rPr>
          <w:noProof/>
          <w:u w:val="single"/>
        </w:rPr>
      </w:pPr>
    </w:p>
    <w:p w14:paraId="43FDE6CB" w14:textId="77777777" w:rsidR="00B3763F" w:rsidRPr="00B3763F" w:rsidRDefault="00B3763F" w:rsidP="00AD4B58">
      <w:pPr>
        <w:suppressAutoHyphens/>
        <w:rPr>
          <w:u w:val="single"/>
        </w:rPr>
      </w:pPr>
      <w:r>
        <w:rPr>
          <w:u w:val="single"/>
        </w:rPr>
        <w:t xml:space="preserve">Disturbi respiratori </w:t>
      </w:r>
      <w:r w:rsidRPr="00B3763F">
        <w:rPr>
          <w:u w:val="single"/>
        </w:rPr>
        <w:t xml:space="preserve">correlati al sonno </w:t>
      </w:r>
    </w:p>
    <w:p w14:paraId="7E8BDEAC" w14:textId="77777777" w:rsidR="00B3763F" w:rsidRDefault="00B3763F" w:rsidP="00AD4B58">
      <w:pPr>
        <w:suppressAutoHyphens/>
      </w:pPr>
      <w:r>
        <w:t>Gli oppioidi possono causare disturbi respiratori correlati al sonno come apnea centrale del sonno (CSA) e ipossiemia sonno-correlata. L</w:t>
      </w:r>
      <w:r w:rsidR="00393B71">
        <w:t>’</w:t>
      </w:r>
      <w:r>
        <w:t>uso di oppioidi aumenta il rischio di CSA in maniera dose-dipendente. Bisogna valutare l</w:t>
      </w:r>
      <w:r w:rsidR="00393B71">
        <w:t>’</w:t>
      </w:r>
      <w:r>
        <w:t>opportunità di ridurre il dosaggio totale di oppioidi nei pazienti che presentano CSA.</w:t>
      </w:r>
    </w:p>
    <w:p w14:paraId="56EA6006" w14:textId="77777777" w:rsidR="00B3763F" w:rsidRDefault="00B3763F" w:rsidP="00AD4B58">
      <w:pPr>
        <w:suppressAutoHyphens/>
      </w:pPr>
    </w:p>
    <w:p w14:paraId="7872A39D" w14:textId="77777777" w:rsidR="00DC5D40" w:rsidRPr="00DC5D40" w:rsidRDefault="00DC5D40" w:rsidP="00AD4B58">
      <w:pPr>
        <w:suppressAutoHyphens/>
        <w:rPr>
          <w:u w:val="single"/>
        </w:rPr>
      </w:pPr>
      <w:r w:rsidRPr="00DC5D40">
        <w:rPr>
          <w:u w:val="single"/>
        </w:rPr>
        <w:t>Rischio derivante dall</w:t>
      </w:r>
      <w:r w:rsidR="00393B71">
        <w:rPr>
          <w:u w:val="single"/>
        </w:rPr>
        <w:t>’</w:t>
      </w:r>
      <w:r w:rsidRPr="00DC5D40">
        <w:rPr>
          <w:u w:val="single"/>
        </w:rPr>
        <w:t xml:space="preserve">uso concomitante di medicinali sedativi quali benzodiazepine o farmaci correlati: </w:t>
      </w:r>
    </w:p>
    <w:p w14:paraId="60FBAB47" w14:textId="64B6482A" w:rsidR="00DC5D40" w:rsidRDefault="00DC5D40" w:rsidP="00AD4B58">
      <w:pPr>
        <w:suppressAutoHyphens/>
      </w:pPr>
      <w:r>
        <w:t>L</w:t>
      </w:r>
      <w:r w:rsidR="00393B71">
        <w:t>’</w:t>
      </w:r>
      <w:r>
        <w:t xml:space="preserve">uso concomitante di </w:t>
      </w:r>
      <w:proofErr w:type="spellStart"/>
      <w:r w:rsidR="003F3E0C">
        <w:t>Sublifen</w:t>
      </w:r>
      <w:proofErr w:type="spellEnd"/>
      <w:r w:rsidR="003F3E0C">
        <w:t xml:space="preserve"> </w:t>
      </w:r>
      <w:r>
        <w:t xml:space="preserve">e di medicinali sedativi, quali benzodiazepine o farmaci correlati, può provocare sedazione, depressione respiratoria, coma e decesso. A causa di questi rischi, la prescrizione concomitante di questi medicinali sedativi deve essere riservata ai pazienti per i quali non sono possibili opzioni terapeutiche alternative. Se si decide di prescrivere </w:t>
      </w:r>
      <w:proofErr w:type="spellStart"/>
      <w:r w:rsidR="003F3E0C">
        <w:t>Sublifen</w:t>
      </w:r>
      <w:proofErr w:type="spellEnd"/>
      <w:r w:rsidR="003F3E0C">
        <w:t xml:space="preserve"> </w:t>
      </w:r>
      <w:r>
        <w:t xml:space="preserve">in concomitanza con medicinali sedativi, deve essere usata la dose efficace più bassa e la durata del trattamento deve essere la più breve possibile. </w:t>
      </w:r>
    </w:p>
    <w:p w14:paraId="31E6BCB4" w14:textId="77777777" w:rsidR="00DC5D40" w:rsidRDefault="00DC5D40" w:rsidP="00AD4B58">
      <w:pPr>
        <w:suppressAutoHyphens/>
      </w:pPr>
      <w:r>
        <w:t>I pazienti devono essere seguiti attentamente per quanto riguarda la comparsa di segni e sintomi di depressione respiratoria e di sedazione. A tale riguardo, si raccomanda vivamente di informare i pazienti e chi si occupa di loro di prestare attenzione a questi sintomi (vedere paragrafo 4.5).</w:t>
      </w:r>
    </w:p>
    <w:p w14:paraId="7BE20D2B" w14:textId="77777777" w:rsidR="00A121D4" w:rsidRDefault="00A121D4" w:rsidP="00AD4B58">
      <w:pPr>
        <w:suppressAutoHyphens/>
      </w:pPr>
    </w:p>
    <w:p w14:paraId="2A202B46" w14:textId="77777777" w:rsidR="00A121D4" w:rsidRDefault="00A121D4" w:rsidP="00AD4B58">
      <w:pPr>
        <w:suppressAutoHyphens/>
        <w:rPr>
          <w:u w:val="single"/>
        </w:rPr>
      </w:pPr>
      <w:proofErr w:type="spellStart"/>
      <w:r w:rsidRPr="00A121D4">
        <w:rPr>
          <w:u w:val="single"/>
        </w:rPr>
        <w:t>Sublifen</w:t>
      </w:r>
      <w:proofErr w:type="spellEnd"/>
      <w:r w:rsidRPr="00A121D4">
        <w:rPr>
          <w:u w:val="single"/>
        </w:rPr>
        <w:t xml:space="preserve"> contiene sodio</w:t>
      </w:r>
    </w:p>
    <w:p w14:paraId="2F28F1A0" w14:textId="76C895BB" w:rsidR="00A121D4" w:rsidRPr="00A121D4" w:rsidRDefault="00A121D4" w:rsidP="00AD4B58">
      <w:pPr>
        <w:suppressAutoHyphens/>
        <w:rPr>
          <w:u w:val="single"/>
        </w:rPr>
      </w:pPr>
      <w:r>
        <w:t>Questo medicinale contiene meno di 1</w:t>
      </w:r>
      <w:r w:rsidR="004930AE">
        <w:t> </w:t>
      </w:r>
      <w:proofErr w:type="spellStart"/>
      <w:r>
        <w:t>mmol</w:t>
      </w:r>
      <w:proofErr w:type="spellEnd"/>
      <w:r>
        <w:t xml:space="preserve"> (23</w:t>
      </w:r>
      <w:r w:rsidR="004930AE">
        <w:t> </w:t>
      </w:r>
      <w:r>
        <w:t xml:space="preserve">mg) di sodio per compressa, cioè essenzialmente </w:t>
      </w:r>
      <w:r w:rsidR="00393B71">
        <w:t>‘</w:t>
      </w:r>
      <w:r>
        <w:t>senza sodio</w:t>
      </w:r>
      <w:r w:rsidR="00393B71">
        <w:t>’</w:t>
      </w:r>
      <w:r>
        <w:t>.</w:t>
      </w:r>
    </w:p>
    <w:p w14:paraId="50CA4EC1" w14:textId="77777777" w:rsidR="00DC5D40" w:rsidRPr="00804996" w:rsidRDefault="00DC5D40" w:rsidP="00AD4B58">
      <w:pPr>
        <w:suppressAutoHyphens/>
      </w:pPr>
    </w:p>
    <w:p w14:paraId="7C3C34D3" w14:textId="77777777" w:rsidR="00C75B69" w:rsidRPr="00804996" w:rsidRDefault="00B46DB0" w:rsidP="00AD4B58">
      <w:pPr>
        <w:suppressAutoHyphens/>
        <w:ind w:left="567" w:hanging="567"/>
      </w:pPr>
      <w:r w:rsidRPr="00804996">
        <w:rPr>
          <w:b/>
        </w:rPr>
        <w:t>4.5</w:t>
      </w:r>
      <w:r w:rsidRPr="00804996">
        <w:rPr>
          <w:b/>
        </w:rPr>
        <w:tab/>
        <w:t>Interazioni con altri medicinali ed altre forme di interazione</w:t>
      </w:r>
    </w:p>
    <w:p w14:paraId="2CC38661" w14:textId="77777777" w:rsidR="00C75B69" w:rsidRPr="00804996" w:rsidRDefault="00C75B69" w:rsidP="00AD4B58">
      <w:pPr>
        <w:suppressAutoHyphens/>
      </w:pPr>
    </w:p>
    <w:p w14:paraId="6406F74D" w14:textId="77777777" w:rsidR="00587C43" w:rsidRDefault="00587C43" w:rsidP="00AD4B58">
      <w:pPr>
        <w:suppressAutoHyphens/>
      </w:pPr>
      <w:r>
        <w:t>L</w:t>
      </w:r>
      <w:r w:rsidR="00393B71">
        <w:t>’</w:t>
      </w:r>
      <w:r>
        <w:t xml:space="preserve">uso concomitante di medicinali contenenti sodio </w:t>
      </w:r>
      <w:proofErr w:type="spellStart"/>
      <w:r>
        <w:t>oxibato</w:t>
      </w:r>
      <w:proofErr w:type="spellEnd"/>
      <w:r>
        <w:t xml:space="preserve"> e </w:t>
      </w:r>
      <w:proofErr w:type="spellStart"/>
      <w:r>
        <w:t>fentanil</w:t>
      </w:r>
      <w:proofErr w:type="spellEnd"/>
      <w:r>
        <w:t xml:space="preserve"> è controindicato (vedere paragrafo 4.3). Il trattamento con sodio </w:t>
      </w:r>
      <w:proofErr w:type="spellStart"/>
      <w:r>
        <w:t>oxibato</w:t>
      </w:r>
      <w:proofErr w:type="spellEnd"/>
      <w:r>
        <w:t xml:space="preserve"> deve essere interrotto prima di iniziare il trattamento con </w:t>
      </w:r>
      <w:proofErr w:type="spellStart"/>
      <w:r>
        <w:t>Sublifen</w:t>
      </w:r>
      <w:proofErr w:type="spellEnd"/>
      <w:r>
        <w:t>.</w:t>
      </w:r>
    </w:p>
    <w:p w14:paraId="7A4A2A6C" w14:textId="77777777" w:rsidR="00587C43" w:rsidRDefault="00587C43" w:rsidP="00AD4B58">
      <w:pPr>
        <w:suppressAutoHyphens/>
      </w:pPr>
    </w:p>
    <w:p w14:paraId="0A4A6F31" w14:textId="08252DE2" w:rsidR="00821DEC" w:rsidRDefault="00821DEC" w:rsidP="00821DEC">
      <w:pPr>
        <w:suppressAutoHyphens/>
        <w:rPr>
          <w:noProof/>
        </w:rPr>
      </w:pPr>
      <w:r>
        <w:rPr>
          <w:noProof/>
        </w:rPr>
        <w:t>Il fentanil è metabolizzato dal CYP3A4. I farmaci che inibiscono l</w:t>
      </w:r>
      <w:r w:rsidR="00393B71">
        <w:rPr>
          <w:noProof/>
        </w:rPr>
        <w:t>’</w:t>
      </w:r>
      <w:r>
        <w:rPr>
          <w:noProof/>
        </w:rPr>
        <w:t>attività del CYP3A4, quali gli antibiotici macrolidi (ad es. eritromicina), gli agenti antifungini azolici (ad es. chetoconazolo, itraconazolo) o alcuni inibitori della proteasi (ad es. ritonavir) possono aumentare la biodisponibilità di fentanil, riducendone la clearance sistemica e intensificando o prolungando potenzialmente gli effetti oppiacei. Anche il succo di pompelmo è un noto inibitore del CYP3A4. La co-somministrazione con agenti che inducono l</w:t>
      </w:r>
      <w:r w:rsidR="00393B71">
        <w:rPr>
          <w:noProof/>
        </w:rPr>
        <w:t>’</w:t>
      </w:r>
      <w:r>
        <w:rPr>
          <w:noProof/>
        </w:rPr>
        <w:t>attività del CYP3A4 come antimicobatterici (p. es. rifampina, rifabutina), anticonvulsivanti (p. es. carbamazepina, fenitoina e fenobarbital), fitoterapici (p. es. erba di San Giovanni, hypericum perforatum) può ridurre l</w:t>
      </w:r>
      <w:r w:rsidR="00393B71">
        <w:rPr>
          <w:noProof/>
        </w:rPr>
        <w:t>’</w:t>
      </w:r>
      <w:r>
        <w:rPr>
          <w:noProof/>
        </w:rPr>
        <w:t>efficacia di fentanil. Gli induttori del CYP3A4 esercitano il loro effetto in maniera tempo-dipendente e possono impiegare almeno 2 settimane per raggiungere l</w:t>
      </w:r>
      <w:r w:rsidR="00393B71">
        <w:rPr>
          <w:noProof/>
        </w:rPr>
        <w:t>’</w:t>
      </w:r>
      <w:r>
        <w:rPr>
          <w:noProof/>
        </w:rPr>
        <w:t>effetto massimo dopo la loro introduzione. Viceversa, quando la somministrazione viene interrotta, l</w:t>
      </w:r>
      <w:r w:rsidR="00393B71">
        <w:rPr>
          <w:noProof/>
        </w:rPr>
        <w:t>’</w:t>
      </w:r>
      <w:r>
        <w:rPr>
          <w:noProof/>
        </w:rPr>
        <w:t>induzione del CYP3A4 può richiedere almeno 2 settimane per calare. I pazienti trattati con fentanil che interrompono la terapia con induttori del CYP3A4 o ne riducono la dose possono essere a rischio di un</w:t>
      </w:r>
      <w:r w:rsidR="00393B71">
        <w:rPr>
          <w:noProof/>
        </w:rPr>
        <w:t>’</w:t>
      </w:r>
      <w:r>
        <w:rPr>
          <w:noProof/>
        </w:rPr>
        <w:t>aumentata attività o tossicità del fentanil. Il fentanil deve quindi essere somministrato con cautela nei pazienti che in concomitanza assumono inibitori e/o induttori del CYP3A4.</w:t>
      </w:r>
    </w:p>
    <w:p w14:paraId="64986B50" w14:textId="77777777" w:rsidR="00821DEC" w:rsidRDefault="00821DEC" w:rsidP="00821DEC">
      <w:pPr>
        <w:suppressAutoHyphens/>
        <w:rPr>
          <w:noProof/>
        </w:rPr>
      </w:pPr>
    </w:p>
    <w:p w14:paraId="4659C4F6" w14:textId="1699DB2A" w:rsidR="00821DEC" w:rsidRDefault="00821DEC" w:rsidP="00821DEC">
      <w:pPr>
        <w:suppressAutoHyphens/>
        <w:rPr>
          <w:noProof/>
        </w:rPr>
      </w:pPr>
      <w:r>
        <w:rPr>
          <w:noProof/>
        </w:rPr>
        <w:lastRenderedPageBreak/>
        <w:t>L</w:t>
      </w:r>
      <w:r w:rsidR="00393B71">
        <w:rPr>
          <w:noProof/>
        </w:rPr>
        <w:t>’</w:t>
      </w:r>
      <w:r>
        <w:rPr>
          <w:noProof/>
        </w:rPr>
        <w:t xml:space="preserve">uso concomitante di altri depressori del sistema nervoso centrale, quali altri derivati della morfina (analgesici e antitussivi), anestetici generali, rilassanti muscolo-scheletrici, antidepressivi sedativi, antistaminici H1 sedativi, barbiturici, ansiolitici (ad es. benzodiazepine), ipnotici, </w:t>
      </w:r>
      <w:proofErr w:type="spellStart"/>
      <w:r w:rsidR="008B0270">
        <w:t>gabapentinoidi</w:t>
      </w:r>
      <w:proofErr w:type="spellEnd"/>
      <w:r w:rsidR="008B0270">
        <w:t xml:space="preserve"> (gabapentin e </w:t>
      </w:r>
      <w:proofErr w:type="spellStart"/>
      <w:r w:rsidR="008B0270">
        <w:t>pregabalin</w:t>
      </w:r>
      <w:proofErr w:type="spellEnd"/>
      <w:r w:rsidR="008B0270">
        <w:t xml:space="preserve">), </w:t>
      </w:r>
      <w:r>
        <w:rPr>
          <w:noProof/>
        </w:rPr>
        <w:t>antipsicotici, clonidina e sostanze correlate possono produrre un aumento dell</w:t>
      </w:r>
      <w:r w:rsidR="00393B71">
        <w:rPr>
          <w:noProof/>
        </w:rPr>
        <w:t>’</w:t>
      </w:r>
      <w:r>
        <w:rPr>
          <w:noProof/>
        </w:rPr>
        <w:t xml:space="preserve">effetto depressivo sul sistema nervoso centrale, un aumentato rischio di sedazione, depressione respiratoria, ipotensione, coma e </w:t>
      </w:r>
      <w:r w:rsidR="002F3A43">
        <w:rPr>
          <w:noProof/>
        </w:rPr>
        <w:t>morte</w:t>
      </w:r>
      <w:r>
        <w:rPr>
          <w:noProof/>
        </w:rPr>
        <w:t>.</w:t>
      </w:r>
      <w:r w:rsidR="002F3A43">
        <w:rPr>
          <w:noProof/>
        </w:rPr>
        <w:t xml:space="preserve"> </w:t>
      </w:r>
      <w:r w:rsidR="002F3A43">
        <w:t>La dose e la durata dell</w:t>
      </w:r>
      <w:r w:rsidR="00393B71">
        <w:t>’</w:t>
      </w:r>
      <w:r w:rsidR="002F3A43">
        <w:t xml:space="preserve">uso concomitante devono essere limitati </w:t>
      </w:r>
      <w:r w:rsidR="002F3A43">
        <w:rPr>
          <w:noProof/>
        </w:rPr>
        <w:t>(vedere paragrafo 4.4).</w:t>
      </w:r>
    </w:p>
    <w:p w14:paraId="7CE5F698" w14:textId="77777777" w:rsidR="00821DEC" w:rsidRDefault="00821DEC" w:rsidP="00821DEC">
      <w:pPr>
        <w:suppressAutoHyphens/>
        <w:rPr>
          <w:noProof/>
        </w:rPr>
      </w:pPr>
    </w:p>
    <w:p w14:paraId="1D320E45" w14:textId="77777777" w:rsidR="00821DEC" w:rsidRDefault="00821DEC" w:rsidP="00821DEC">
      <w:pPr>
        <w:suppressAutoHyphens/>
        <w:rPr>
          <w:noProof/>
        </w:rPr>
      </w:pPr>
      <w:r>
        <w:rPr>
          <w:noProof/>
        </w:rPr>
        <w:t>L</w:t>
      </w:r>
      <w:r w:rsidR="00393B71">
        <w:rPr>
          <w:noProof/>
        </w:rPr>
        <w:t>’</w:t>
      </w:r>
      <w:r>
        <w:rPr>
          <w:noProof/>
        </w:rPr>
        <w:t>alcol potenzia gli effetti sedativi degli analgesici a base di morfina, pertanto con Sublifen non è raccomandata la somministrazione concomitante di bevande alcoliche o di prodotti medicinali contenenti alcol.</w:t>
      </w:r>
    </w:p>
    <w:p w14:paraId="245A3A05" w14:textId="77777777" w:rsidR="00821DEC" w:rsidRDefault="00821DEC" w:rsidP="00821DEC">
      <w:pPr>
        <w:suppressAutoHyphens/>
        <w:rPr>
          <w:noProof/>
        </w:rPr>
      </w:pPr>
    </w:p>
    <w:p w14:paraId="34709A33" w14:textId="77777777" w:rsidR="00587C43" w:rsidRDefault="00821DEC" w:rsidP="00821DEC">
      <w:pPr>
        <w:suppressAutoHyphens/>
        <w:rPr>
          <w:noProof/>
        </w:rPr>
      </w:pPr>
      <w:r>
        <w:rPr>
          <w:noProof/>
        </w:rPr>
        <w:t>Sublifen non è raccomandato nei pazienti che hanno assunto inibitori delle monoaminossidasi (MAO) negli ultimi 14 giorni, in quanto è stato segnalato un potenziamento severo e imprevedibile da parte degli inibitori di MAO con analgesici oppiacei.</w:t>
      </w:r>
    </w:p>
    <w:p w14:paraId="5ED85BD6" w14:textId="77777777" w:rsidR="00587C43" w:rsidRDefault="00587C43" w:rsidP="00AD4B58">
      <w:pPr>
        <w:suppressAutoHyphens/>
        <w:rPr>
          <w:noProof/>
        </w:rPr>
      </w:pPr>
    </w:p>
    <w:p w14:paraId="2D47FB42" w14:textId="77777777" w:rsidR="00BB09A8" w:rsidRDefault="00BB09A8" w:rsidP="00BB09A8">
      <w:pPr>
        <w:suppressAutoHyphens/>
        <w:rPr>
          <w:noProof/>
        </w:rPr>
      </w:pPr>
      <w:r>
        <w:rPr>
          <w:noProof/>
        </w:rPr>
        <w:t>L</w:t>
      </w:r>
      <w:r w:rsidR="00393B71">
        <w:rPr>
          <w:noProof/>
        </w:rPr>
        <w:t>’</w:t>
      </w:r>
      <w:r>
        <w:rPr>
          <w:noProof/>
        </w:rPr>
        <w:t>uso concomitante di agonisti/antagonisti parziali degli oppiacei (per esempio, buprenorfina, nalbufina, pentazocina) è sconsigliato. Tali medicinali possiedono un</w:t>
      </w:r>
      <w:r w:rsidR="00393B71">
        <w:rPr>
          <w:noProof/>
        </w:rPr>
        <w:t>’</w:t>
      </w:r>
      <w:r>
        <w:rPr>
          <w:noProof/>
        </w:rPr>
        <w:t>elevata affinità con i recettori degli oppiacei dotati di attività intrinseca relativamente bassa e pertanto, producono un effetto parzialmente antagonista rispetto all</w:t>
      </w:r>
      <w:r w:rsidR="00393B71">
        <w:rPr>
          <w:noProof/>
        </w:rPr>
        <w:t>’</w:t>
      </w:r>
      <w:r>
        <w:rPr>
          <w:noProof/>
        </w:rPr>
        <w:t>effetto analgesico di fentanil e possono indurre sintomi da sospensione del farmaco nei pazienti dipendenti dagli oppiacei.</w:t>
      </w:r>
    </w:p>
    <w:p w14:paraId="3D7ED6A3" w14:textId="77777777" w:rsidR="00BB09A8" w:rsidRDefault="00BB09A8" w:rsidP="00BB09A8">
      <w:pPr>
        <w:suppressAutoHyphens/>
        <w:rPr>
          <w:noProof/>
        </w:rPr>
      </w:pPr>
    </w:p>
    <w:p w14:paraId="45FD05E1" w14:textId="77777777" w:rsidR="00BB09A8" w:rsidRPr="00BB09A8" w:rsidRDefault="00BB09A8" w:rsidP="00BB09A8">
      <w:pPr>
        <w:suppressAutoHyphens/>
        <w:rPr>
          <w:noProof/>
          <w:u w:val="single"/>
        </w:rPr>
      </w:pPr>
      <w:r w:rsidRPr="00BB09A8">
        <w:rPr>
          <w:noProof/>
          <w:u w:val="single"/>
        </w:rPr>
        <w:t>Farmaci serotoninergici</w:t>
      </w:r>
    </w:p>
    <w:p w14:paraId="16D75A57" w14:textId="77777777" w:rsidR="00587C43" w:rsidRDefault="00BB09A8" w:rsidP="00BB09A8">
      <w:pPr>
        <w:suppressAutoHyphens/>
        <w:rPr>
          <w:noProof/>
        </w:rPr>
      </w:pPr>
      <w:r>
        <w:rPr>
          <w:noProof/>
        </w:rPr>
        <w:t>La somministrazione concomitante di fentanil con un agente serotoninergico, quale un Inibitore Selettivo della Ricaptazione della Serotonina (SSRI) o un Inibitore della Ricaptazione della Serotonina-Norepinefrina (SNRI) o un Inibitore delle Monoamino Ossidasi (IMAO) può aumentare il rischio di sindrome serotoninergica, una condizione potenzialmente pericolosa per la vita.</w:t>
      </w:r>
    </w:p>
    <w:p w14:paraId="5EB167A9" w14:textId="77777777" w:rsidR="006710B0" w:rsidRPr="00804996" w:rsidRDefault="006710B0" w:rsidP="00AD4B58">
      <w:pPr>
        <w:suppressAutoHyphens/>
      </w:pPr>
    </w:p>
    <w:p w14:paraId="56E2B71A" w14:textId="77777777" w:rsidR="00C75B69" w:rsidRPr="00804996" w:rsidRDefault="00B46DB0" w:rsidP="00AD4B58">
      <w:pPr>
        <w:suppressAutoHyphens/>
        <w:ind w:left="567" w:hanging="567"/>
      </w:pPr>
      <w:r w:rsidRPr="00804996">
        <w:rPr>
          <w:b/>
        </w:rPr>
        <w:t>4.6</w:t>
      </w:r>
      <w:r w:rsidRPr="00804996">
        <w:rPr>
          <w:b/>
        </w:rPr>
        <w:tab/>
      </w:r>
      <w:r w:rsidR="00997B4C" w:rsidRPr="00804996">
        <w:rPr>
          <w:b/>
          <w:noProof/>
          <w:szCs w:val="22"/>
        </w:rPr>
        <w:t>Fertilità, g</w:t>
      </w:r>
      <w:r w:rsidRPr="00804996">
        <w:rPr>
          <w:b/>
        </w:rPr>
        <w:t>ravidanza e allattamento</w:t>
      </w:r>
    </w:p>
    <w:p w14:paraId="52975230" w14:textId="77777777" w:rsidR="00F51642" w:rsidRPr="00804996" w:rsidRDefault="00F51642" w:rsidP="00AD4B58">
      <w:pPr>
        <w:rPr>
          <w:i/>
        </w:rPr>
      </w:pPr>
    </w:p>
    <w:p w14:paraId="1238CAF1" w14:textId="77777777" w:rsidR="00591C06" w:rsidRDefault="00591C06" w:rsidP="00591C06">
      <w:pPr>
        <w:suppressAutoHyphens/>
        <w:rPr>
          <w:noProof/>
          <w:szCs w:val="22"/>
        </w:rPr>
      </w:pPr>
      <w:r w:rsidRPr="00591C06">
        <w:rPr>
          <w:noProof/>
          <w:szCs w:val="22"/>
        </w:rPr>
        <w:t>La sicurezza del fentanil in gravidanza non è stata stabilita. Gli studi condotti su animali hanno</w:t>
      </w:r>
      <w:r>
        <w:rPr>
          <w:noProof/>
          <w:szCs w:val="22"/>
        </w:rPr>
        <w:t xml:space="preserve"> </w:t>
      </w:r>
      <w:r w:rsidRPr="00591C06">
        <w:rPr>
          <w:noProof/>
          <w:szCs w:val="22"/>
        </w:rPr>
        <w:t>evidenziato una tossicità riproduttiva, con compromissione della fertilità nei ratti (vedere paragrafo</w:t>
      </w:r>
      <w:r>
        <w:rPr>
          <w:noProof/>
          <w:szCs w:val="22"/>
        </w:rPr>
        <w:t xml:space="preserve"> </w:t>
      </w:r>
      <w:r w:rsidRPr="00591C06">
        <w:rPr>
          <w:noProof/>
          <w:szCs w:val="22"/>
        </w:rPr>
        <w:t>5.3). Il rischio potenziale per gli esseri umani non è noto. Il fentanil non deve essere usato durante la</w:t>
      </w:r>
      <w:r>
        <w:rPr>
          <w:noProof/>
          <w:szCs w:val="22"/>
        </w:rPr>
        <w:t xml:space="preserve"> </w:t>
      </w:r>
      <w:r w:rsidRPr="00591C06">
        <w:rPr>
          <w:noProof/>
          <w:szCs w:val="22"/>
        </w:rPr>
        <w:t>gravidanza, se non in caso di assoluta necessità.</w:t>
      </w:r>
    </w:p>
    <w:p w14:paraId="27CE2850" w14:textId="77777777" w:rsidR="00591C06" w:rsidRPr="00591C06" w:rsidRDefault="00591C06" w:rsidP="00591C06">
      <w:pPr>
        <w:suppressAutoHyphens/>
        <w:rPr>
          <w:noProof/>
          <w:szCs w:val="22"/>
        </w:rPr>
      </w:pPr>
    </w:p>
    <w:p w14:paraId="2AED57B6" w14:textId="77777777" w:rsidR="00591C06" w:rsidRPr="00591C06" w:rsidRDefault="00591C06" w:rsidP="00591C06">
      <w:pPr>
        <w:suppressAutoHyphens/>
        <w:rPr>
          <w:noProof/>
          <w:szCs w:val="22"/>
        </w:rPr>
      </w:pPr>
      <w:r w:rsidRPr="00591C06">
        <w:rPr>
          <w:noProof/>
          <w:szCs w:val="22"/>
        </w:rPr>
        <w:t>Il trattamento a lungo termine durante la gravidanza può causare sintomi di astinenza nei neonati.</w:t>
      </w:r>
    </w:p>
    <w:p w14:paraId="6E4AA201" w14:textId="77777777" w:rsidR="00591C06" w:rsidRDefault="00591C06" w:rsidP="00591C06">
      <w:pPr>
        <w:suppressAutoHyphens/>
        <w:rPr>
          <w:noProof/>
          <w:szCs w:val="22"/>
        </w:rPr>
      </w:pPr>
    </w:p>
    <w:p w14:paraId="4035E5BE" w14:textId="77777777" w:rsidR="00591C06" w:rsidRDefault="00591C06" w:rsidP="00591C06">
      <w:pPr>
        <w:suppressAutoHyphens/>
        <w:rPr>
          <w:noProof/>
          <w:szCs w:val="22"/>
        </w:rPr>
      </w:pPr>
      <w:r w:rsidRPr="00591C06">
        <w:rPr>
          <w:noProof/>
          <w:szCs w:val="22"/>
        </w:rPr>
        <w:t>Il fentanil non si deve usare durante il travaglio e il parto (compreso il taglio cesareo) in quanto il</w:t>
      </w:r>
      <w:r>
        <w:rPr>
          <w:noProof/>
          <w:szCs w:val="22"/>
        </w:rPr>
        <w:t xml:space="preserve"> </w:t>
      </w:r>
      <w:r w:rsidRPr="00591C06">
        <w:rPr>
          <w:noProof/>
          <w:szCs w:val="22"/>
        </w:rPr>
        <w:t>farmaco attraversa la placenta e può causare depressione respiratoria nel feto o nel neonato.</w:t>
      </w:r>
    </w:p>
    <w:p w14:paraId="6EBB7AB8" w14:textId="77777777" w:rsidR="00591C06" w:rsidRPr="00591C06" w:rsidRDefault="00591C06" w:rsidP="00591C06">
      <w:pPr>
        <w:suppressAutoHyphens/>
        <w:rPr>
          <w:noProof/>
          <w:szCs w:val="22"/>
        </w:rPr>
      </w:pPr>
    </w:p>
    <w:p w14:paraId="295FD6BD" w14:textId="77777777" w:rsidR="00591C06" w:rsidRPr="00591C06" w:rsidRDefault="00591C06" w:rsidP="00591C06">
      <w:pPr>
        <w:suppressAutoHyphens/>
        <w:rPr>
          <w:noProof/>
          <w:szCs w:val="22"/>
          <w:u w:val="single"/>
        </w:rPr>
      </w:pPr>
      <w:r w:rsidRPr="00591C06">
        <w:rPr>
          <w:noProof/>
          <w:szCs w:val="22"/>
          <w:u w:val="single"/>
        </w:rPr>
        <w:t>Allattamento</w:t>
      </w:r>
    </w:p>
    <w:p w14:paraId="5CBDC7BB" w14:textId="67E822E3" w:rsidR="00C75B69" w:rsidRDefault="00591C06" w:rsidP="00591C06">
      <w:pPr>
        <w:suppressAutoHyphens/>
        <w:rPr>
          <w:noProof/>
          <w:szCs w:val="22"/>
        </w:rPr>
      </w:pPr>
      <w:r w:rsidRPr="00591C06">
        <w:rPr>
          <w:noProof/>
          <w:szCs w:val="22"/>
        </w:rPr>
        <w:t xml:space="preserve">Il fentanil </w:t>
      </w:r>
      <w:r w:rsidR="00A34FDC">
        <w:rPr>
          <w:noProof/>
          <w:szCs w:val="22"/>
        </w:rPr>
        <w:t xml:space="preserve">è escreto </w:t>
      </w:r>
      <w:r w:rsidRPr="00591C06">
        <w:rPr>
          <w:noProof/>
          <w:szCs w:val="22"/>
        </w:rPr>
        <w:t>nel latte materno e può causare sedazione e depressione respiratoria nel bambino</w:t>
      </w:r>
      <w:r>
        <w:rPr>
          <w:noProof/>
          <w:szCs w:val="22"/>
        </w:rPr>
        <w:t xml:space="preserve"> </w:t>
      </w:r>
      <w:r w:rsidRPr="00591C06">
        <w:rPr>
          <w:noProof/>
          <w:szCs w:val="22"/>
        </w:rPr>
        <w:t>allattato al seno. Fentanil non deve essere usato nelle donne in allattamento e l</w:t>
      </w:r>
      <w:r w:rsidR="00393B71">
        <w:rPr>
          <w:noProof/>
          <w:szCs w:val="22"/>
        </w:rPr>
        <w:t>’</w:t>
      </w:r>
      <w:r w:rsidRPr="00591C06">
        <w:rPr>
          <w:noProof/>
          <w:szCs w:val="22"/>
        </w:rPr>
        <w:t>allattamento al seno</w:t>
      </w:r>
      <w:r>
        <w:rPr>
          <w:noProof/>
          <w:szCs w:val="22"/>
        </w:rPr>
        <w:t xml:space="preserve"> </w:t>
      </w:r>
      <w:r w:rsidRPr="00591C06">
        <w:rPr>
          <w:noProof/>
          <w:szCs w:val="22"/>
        </w:rPr>
        <w:t>può essere ripreso soltanto a distanza di almeno 5 giorni dall</w:t>
      </w:r>
      <w:r w:rsidR="00393B71">
        <w:rPr>
          <w:noProof/>
          <w:szCs w:val="22"/>
        </w:rPr>
        <w:t>’</w:t>
      </w:r>
      <w:r w:rsidRPr="00591C06">
        <w:rPr>
          <w:noProof/>
          <w:szCs w:val="22"/>
        </w:rPr>
        <w:t>ultima somministrazione di fentanil.</w:t>
      </w:r>
    </w:p>
    <w:p w14:paraId="77A43E2D" w14:textId="77777777" w:rsidR="00591C06" w:rsidRPr="00804996" w:rsidRDefault="00591C06" w:rsidP="00591C06">
      <w:pPr>
        <w:suppressAutoHyphens/>
      </w:pPr>
    </w:p>
    <w:p w14:paraId="72F23E1A" w14:textId="77777777" w:rsidR="00C75B69" w:rsidRPr="00804996" w:rsidRDefault="00B46DB0" w:rsidP="00AD4B58">
      <w:pPr>
        <w:suppressAutoHyphens/>
        <w:ind w:left="567" w:hanging="567"/>
      </w:pPr>
      <w:r w:rsidRPr="00804996">
        <w:rPr>
          <w:b/>
        </w:rPr>
        <w:t>4.7</w:t>
      </w:r>
      <w:r w:rsidRPr="00804996">
        <w:rPr>
          <w:b/>
        </w:rPr>
        <w:tab/>
        <w:t>Effetti sulla capacità di guidare veicoli e sull</w:t>
      </w:r>
      <w:r w:rsidR="00393B71">
        <w:rPr>
          <w:b/>
        </w:rPr>
        <w:t>’</w:t>
      </w:r>
      <w:r w:rsidRPr="00804996">
        <w:rPr>
          <w:b/>
        </w:rPr>
        <w:t>uso di macchinari</w:t>
      </w:r>
    </w:p>
    <w:p w14:paraId="52457217" w14:textId="77777777" w:rsidR="00C75B69" w:rsidRPr="00804996" w:rsidRDefault="00C75B69" w:rsidP="00AD4B58">
      <w:pPr>
        <w:suppressAutoHyphens/>
      </w:pPr>
    </w:p>
    <w:p w14:paraId="4D36C5EE" w14:textId="77777777" w:rsidR="00A56703" w:rsidRDefault="00A56703" w:rsidP="00A56703">
      <w:pPr>
        <w:suppressAutoHyphens/>
      </w:pPr>
      <w:r>
        <w:t>Non sono stati effettuati studi sulla capacità di guidare veicoli e sull</w:t>
      </w:r>
      <w:r w:rsidR="00393B71">
        <w:t>’</w:t>
      </w:r>
      <w:r>
        <w:t xml:space="preserve">uso di macchinari con </w:t>
      </w:r>
      <w:proofErr w:type="spellStart"/>
      <w:r>
        <w:t>Sublifen</w:t>
      </w:r>
      <w:proofErr w:type="spellEnd"/>
      <w:r>
        <w:t>.</w:t>
      </w:r>
    </w:p>
    <w:p w14:paraId="495412AD" w14:textId="77777777" w:rsidR="00A56703" w:rsidRDefault="00A56703" w:rsidP="00A56703">
      <w:pPr>
        <w:suppressAutoHyphens/>
      </w:pPr>
    </w:p>
    <w:p w14:paraId="395D612C" w14:textId="77777777" w:rsidR="00C75B69" w:rsidRDefault="00A56703" w:rsidP="00A56703">
      <w:pPr>
        <w:suppressAutoHyphens/>
      </w:pPr>
      <w:r>
        <w:t>Tuttavia, gli analgesici oppiacei condizionano la capacità fisica o mentale di eseguire attività potenzialmente pericolose, quali guidare o utilizzare macchinari. Ai pazienti deve essere consigliato di non guidare né utilizzare macchinari in caso di vertigini o sonnolenza o se si verificasse offuscamento o sdoppiamento della vista durante l</w:t>
      </w:r>
      <w:r w:rsidR="00393B71">
        <w:t>’</w:t>
      </w:r>
      <w:r>
        <w:t xml:space="preserve">assunzione di </w:t>
      </w:r>
      <w:proofErr w:type="spellStart"/>
      <w:r>
        <w:t>Sublifen</w:t>
      </w:r>
      <w:proofErr w:type="spellEnd"/>
      <w:r>
        <w:t>.</w:t>
      </w:r>
    </w:p>
    <w:p w14:paraId="4E65A528" w14:textId="77777777" w:rsidR="00A56703" w:rsidRPr="00804996" w:rsidRDefault="00A56703" w:rsidP="00A56703">
      <w:pPr>
        <w:suppressAutoHyphens/>
      </w:pPr>
    </w:p>
    <w:p w14:paraId="2C7DD702" w14:textId="77777777" w:rsidR="00C75B69" w:rsidRPr="00804996" w:rsidRDefault="00B46DB0" w:rsidP="00AD4B58">
      <w:pPr>
        <w:suppressAutoHyphens/>
        <w:ind w:left="567" w:hanging="567"/>
      </w:pPr>
      <w:r w:rsidRPr="00804996">
        <w:rPr>
          <w:b/>
        </w:rPr>
        <w:t>4.8</w:t>
      </w:r>
      <w:r w:rsidRPr="00804996">
        <w:rPr>
          <w:b/>
        </w:rPr>
        <w:tab/>
        <w:t>Effetti indesiderati</w:t>
      </w:r>
    </w:p>
    <w:p w14:paraId="72AE3BA5" w14:textId="77777777" w:rsidR="00F51642" w:rsidRPr="00804996" w:rsidRDefault="00F51642" w:rsidP="00AD4B58">
      <w:pPr>
        <w:rPr>
          <w:i/>
        </w:rPr>
      </w:pPr>
    </w:p>
    <w:p w14:paraId="21331391" w14:textId="77777777" w:rsidR="00962A0E" w:rsidRDefault="00962A0E" w:rsidP="00962A0E">
      <w:pPr>
        <w:tabs>
          <w:tab w:val="left" w:pos="567"/>
        </w:tabs>
        <w:spacing w:line="260" w:lineRule="exact"/>
      </w:pPr>
      <w:r w:rsidRPr="00962A0E">
        <w:lastRenderedPageBreak/>
        <w:t xml:space="preserve">Con </w:t>
      </w:r>
      <w:proofErr w:type="spellStart"/>
      <w:r>
        <w:t>Sublifen</w:t>
      </w:r>
      <w:proofErr w:type="spellEnd"/>
      <w:r w:rsidRPr="00962A0E">
        <w:t xml:space="preserve"> sono prevedibili effetti indesiderati tipici degli oppiacei; essi tendono a ridursi di intensità</w:t>
      </w:r>
      <w:r>
        <w:t xml:space="preserve"> con l</w:t>
      </w:r>
      <w:r w:rsidR="00393B71">
        <w:t>’</w:t>
      </w:r>
      <w:r w:rsidRPr="00962A0E">
        <w:t>uso prolungato. Le potenziali reazioni avv</w:t>
      </w:r>
      <w:r>
        <w:t>erse più gravi associate all</w:t>
      </w:r>
      <w:r w:rsidR="00393B71">
        <w:t>’</w:t>
      </w:r>
      <w:r w:rsidRPr="00962A0E">
        <w:t>uso degli oppiacei sono</w:t>
      </w:r>
      <w:r>
        <w:t xml:space="preserve"> </w:t>
      </w:r>
      <w:r w:rsidRPr="00962A0E">
        <w:t>depressione respiratoria (che potrebbe causare arresto respiratorio), ipotensione e shock.</w:t>
      </w:r>
    </w:p>
    <w:p w14:paraId="3F82676F" w14:textId="77777777" w:rsidR="00962A0E" w:rsidRPr="00962A0E" w:rsidRDefault="00962A0E" w:rsidP="00962A0E">
      <w:pPr>
        <w:tabs>
          <w:tab w:val="left" w:pos="567"/>
        </w:tabs>
        <w:spacing w:line="260" w:lineRule="exact"/>
      </w:pPr>
    </w:p>
    <w:p w14:paraId="08C6EB4A" w14:textId="77777777" w:rsidR="00962A0E" w:rsidRPr="00962A0E" w:rsidRDefault="00962A0E" w:rsidP="00962A0E">
      <w:pPr>
        <w:tabs>
          <w:tab w:val="left" w:pos="567"/>
        </w:tabs>
        <w:spacing w:line="260" w:lineRule="exact"/>
      </w:pPr>
      <w:r w:rsidRPr="00962A0E">
        <w:t xml:space="preserve">Gli studi clinici su </w:t>
      </w:r>
      <w:proofErr w:type="spellStart"/>
      <w:r>
        <w:t>Sublifen</w:t>
      </w:r>
      <w:proofErr w:type="spellEnd"/>
      <w:r w:rsidRPr="00962A0E">
        <w:t xml:space="preserve"> erano tesi a valutare la sicurezza e l</w:t>
      </w:r>
      <w:r w:rsidR="00393B71">
        <w:t>’</w:t>
      </w:r>
      <w:r w:rsidRPr="00962A0E">
        <w:t>efficacia del trattamento del dolore</w:t>
      </w:r>
      <w:r>
        <w:t xml:space="preserve"> </w:t>
      </w:r>
      <w:r w:rsidRPr="00962A0E">
        <w:t>episodico intenso nei pazienti oncologici. Tutti i pazienti assumevano in concomitanza oppiacei come</w:t>
      </w:r>
      <w:r>
        <w:t xml:space="preserve"> </w:t>
      </w:r>
      <w:r w:rsidRPr="00962A0E">
        <w:t xml:space="preserve">morfina a rilascio prolungato, </w:t>
      </w:r>
      <w:proofErr w:type="spellStart"/>
      <w:r w:rsidRPr="00962A0E">
        <w:t>ossicodone</w:t>
      </w:r>
      <w:proofErr w:type="spellEnd"/>
      <w:r w:rsidRPr="00962A0E">
        <w:t xml:space="preserve"> a rilascio prolungato o </w:t>
      </w:r>
      <w:proofErr w:type="spellStart"/>
      <w:r w:rsidRPr="00962A0E">
        <w:t>fentanil</w:t>
      </w:r>
      <w:proofErr w:type="spellEnd"/>
      <w:r w:rsidRPr="00962A0E">
        <w:t xml:space="preserve"> transdermico per il loro</w:t>
      </w:r>
      <w:r>
        <w:t xml:space="preserve"> </w:t>
      </w:r>
      <w:r w:rsidRPr="00962A0E">
        <w:t>dolore persistente. Pertanto non è possibile identificare in maniera conclusiva gli effetti dovuti solo ad</w:t>
      </w:r>
      <w:r>
        <w:t xml:space="preserve"> </w:t>
      </w:r>
      <w:proofErr w:type="spellStart"/>
      <w:r>
        <w:t>Sublifen</w:t>
      </w:r>
      <w:proofErr w:type="spellEnd"/>
      <w:r w:rsidRPr="00962A0E">
        <w:t>.</w:t>
      </w:r>
    </w:p>
    <w:p w14:paraId="523D20D1" w14:textId="77777777" w:rsidR="00962A0E" w:rsidRPr="00962A0E" w:rsidRDefault="00962A0E" w:rsidP="00962A0E">
      <w:pPr>
        <w:tabs>
          <w:tab w:val="left" w:pos="567"/>
        </w:tabs>
        <w:spacing w:line="260" w:lineRule="exact"/>
      </w:pPr>
      <w:r w:rsidRPr="00962A0E">
        <w:t xml:space="preserve">Le reazioni avverse osservate più frequentemente con </w:t>
      </w:r>
      <w:proofErr w:type="spellStart"/>
      <w:r>
        <w:t>Sublifen</w:t>
      </w:r>
      <w:proofErr w:type="spellEnd"/>
      <w:r w:rsidRPr="00962A0E">
        <w:t xml:space="preserve"> includono le tipiche reazioni avverse</w:t>
      </w:r>
      <w:r>
        <w:t xml:space="preserve"> </w:t>
      </w:r>
      <w:r w:rsidRPr="00962A0E">
        <w:t>agli oppiacei, come nausea, costipazione, sonnolenza e cefalea.</w:t>
      </w:r>
    </w:p>
    <w:p w14:paraId="0E20CED7" w14:textId="77777777" w:rsidR="00962A0E" w:rsidRDefault="00962A0E" w:rsidP="00962A0E">
      <w:pPr>
        <w:tabs>
          <w:tab w:val="left" w:pos="567"/>
        </w:tabs>
        <w:spacing w:line="260" w:lineRule="exact"/>
      </w:pPr>
    </w:p>
    <w:p w14:paraId="1BABCA93" w14:textId="77777777" w:rsidR="00962A0E" w:rsidRPr="00962A0E" w:rsidRDefault="00962A0E" w:rsidP="00962A0E">
      <w:pPr>
        <w:tabs>
          <w:tab w:val="left" w:pos="567"/>
        </w:tabs>
        <w:spacing w:line="260" w:lineRule="exact"/>
      </w:pPr>
      <w:r w:rsidRPr="00962A0E">
        <w:t xml:space="preserve">Elenco tabulato delle reazioni avverse osservate con </w:t>
      </w:r>
      <w:proofErr w:type="spellStart"/>
      <w:r>
        <w:t>Sublifen</w:t>
      </w:r>
      <w:proofErr w:type="spellEnd"/>
      <w:r w:rsidRPr="00962A0E">
        <w:t xml:space="preserve"> e/o altri composti contenenti </w:t>
      </w:r>
      <w:proofErr w:type="spellStart"/>
      <w:r w:rsidRPr="00962A0E">
        <w:t>fentanil</w:t>
      </w:r>
      <w:proofErr w:type="spellEnd"/>
      <w:r w:rsidRPr="00962A0E">
        <w:t>:</w:t>
      </w:r>
    </w:p>
    <w:p w14:paraId="28873349" w14:textId="026DF36D" w:rsidR="00612FE1" w:rsidRPr="00962A0E" w:rsidRDefault="00962A0E" w:rsidP="00962A0E">
      <w:pPr>
        <w:tabs>
          <w:tab w:val="left" w:pos="567"/>
        </w:tabs>
        <w:spacing w:line="260" w:lineRule="exact"/>
      </w:pPr>
      <w:r w:rsidRPr="00962A0E">
        <w:t xml:space="preserve">Le seguenti reazioni avverse osservate sono state segnalate con </w:t>
      </w:r>
      <w:proofErr w:type="spellStart"/>
      <w:r>
        <w:t>Sublifen</w:t>
      </w:r>
      <w:proofErr w:type="spellEnd"/>
      <w:r w:rsidRPr="00962A0E">
        <w:t xml:space="preserve"> e/o con altri composti</w:t>
      </w:r>
      <w:r w:rsidR="00500CEA">
        <w:t xml:space="preserve"> </w:t>
      </w:r>
      <w:r w:rsidRPr="00962A0E">
        <w:t xml:space="preserve">contenenti </w:t>
      </w:r>
      <w:proofErr w:type="spellStart"/>
      <w:r w:rsidRPr="00962A0E">
        <w:t>fentanil</w:t>
      </w:r>
      <w:proofErr w:type="spellEnd"/>
      <w:r w:rsidRPr="00962A0E">
        <w:t xml:space="preserve"> durante studi clinici e nell</w:t>
      </w:r>
      <w:r w:rsidR="00393B71">
        <w:t>’</w:t>
      </w:r>
      <w:r w:rsidRPr="00962A0E">
        <w:t>esperienza post-commercializzazione. Sono elencate</w:t>
      </w:r>
      <w:r>
        <w:t xml:space="preserve"> </w:t>
      </w:r>
      <w:r w:rsidRPr="00962A0E">
        <w:t>secondo la classificazione per sistemi e organi e seco</w:t>
      </w:r>
      <w:r>
        <w:t>ndo la frequenza (molto comune (</w:t>
      </w:r>
      <w:r w:rsidRPr="00EC5642">
        <w:rPr>
          <w:noProof/>
          <w:szCs w:val="22"/>
        </w:rPr>
        <w:t>≥</w:t>
      </w:r>
      <w:r w:rsidRPr="00962A0E">
        <w:t xml:space="preserve"> 1/10</w:t>
      </w:r>
      <w:r>
        <w:t>)</w:t>
      </w:r>
      <w:r w:rsidRPr="00962A0E">
        <w:t>; comune</w:t>
      </w:r>
      <w:r>
        <w:t xml:space="preserve"> (da </w:t>
      </w:r>
      <w:r w:rsidRPr="00EC5642">
        <w:rPr>
          <w:noProof/>
          <w:szCs w:val="22"/>
        </w:rPr>
        <w:t>≥</w:t>
      </w:r>
      <w:r>
        <w:t xml:space="preserve"> 1/100</w:t>
      </w:r>
      <w:r w:rsidRPr="00962A0E">
        <w:t xml:space="preserve"> a &lt; 1/10</w:t>
      </w:r>
      <w:r w:rsidR="00503407">
        <w:t>), non comune da (</w:t>
      </w:r>
      <w:r w:rsidR="00503407" w:rsidRPr="00EC5642">
        <w:rPr>
          <w:noProof/>
          <w:szCs w:val="22"/>
        </w:rPr>
        <w:t xml:space="preserve">≥ </w:t>
      </w:r>
      <w:r w:rsidRPr="00962A0E">
        <w:t>1/1</w:t>
      </w:r>
      <w:r w:rsidR="00492545">
        <w:t> </w:t>
      </w:r>
      <w:r w:rsidRPr="00962A0E">
        <w:t>000 a &lt;1/100</w:t>
      </w:r>
      <w:r w:rsidR="00503407">
        <w:t>)</w:t>
      </w:r>
      <w:r w:rsidRPr="00962A0E">
        <w:t>;</w:t>
      </w:r>
      <w:r w:rsidR="00503407">
        <w:t xml:space="preserve"> raro (da </w:t>
      </w:r>
      <w:r w:rsidR="00503407" w:rsidRPr="00EC5642">
        <w:rPr>
          <w:noProof/>
          <w:szCs w:val="22"/>
        </w:rPr>
        <w:t>≥</w:t>
      </w:r>
      <w:r w:rsidR="00503407">
        <w:rPr>
          <w:noProof/>
          <w:szCs w:val="22"/>
        </w:rPr>
        <w:t>1/10</w:t>
      </w:r>
      <w:r w:rsidR="00380B40">
        <w:rPr>
          <w:noProof/>
          <w:szCs w:val="22"/>
        </w:rPr>
        <w:t> </w:t>
      </w:r>
      <w:r w:rsidR="00503407">
        <w:rPr>
          <w:noProof/>
          <w:szCs w:val="22"/>
        </w:rPr>
        <w:t>000 a &lt;1/1</w:t>
      </w:r>
      <w:r w:rsidR="00380B40">
        <w:rPr>
          <w:noProof/>
          <w:szCs w:val="22"/>
        </w:rPr>
        <w:t> </w:t>
      </w:r>
      <w:r w:rsidR="00503407">
        <w:rPr>
          <w:noProof/>
          <w:szCs w:val="22"/>
        </w:rPr>
        <w:t>000), molto raro (&lt;1/10</w:t>
      </w:r>
      <w:r w:rsidR="00380B40">
        <w:rPr>
          <w:noProof/>
          <w:szCs w:val="22"/>
        </w:rPr>
        <w:t> </w:t>
      </w:r>
      <w:r w:rsidR="00503407">
        <w:rPr>
          <w:noProof/>
          <w:szCs w:val="22"/>
        </w:rPr>
        <w:t>000),</w:t>
      </w:r>
      <w:r w:rsidRPr="00962A0E">
        <w:t xml:space="preserve"> non nota (la frequenza non può essere</w:t>
      </w:r>
      <w:r w:rsidR="00503407">
        <w:t xml:space="preserve"> </w:t>
      </w:r>
      <w:r w:rsidRPr="00962A0E">
        <w:t>definita sulla base dei dati disponibili)). All</w:t>
      </w:r>
      <w:r w:rsidR="00393B71">
        <w:t>’</w:t>
      </w:r>
      <w:r w:rsidRPr="00962A0E">
        <w:t>interno di ciascuna classe di frequenza, gli effetti</w:t>
      </w:r>
      <w:r w:rsidR="00503407">
        <w:t xml:space="preserve"> </w:t>
      </w:r>
      <w:r w:rsidRPr="00962A0E">
        <w:t>indesiderati sono riportati in ordine decrescente di gravità.</w:t>
      </w:r>
      <w:r>
        <w:t xml:space="preserve"> </w:t>
      </w:r>
    </w:p>
    <w:tbl>
      <w:tblPr>
        <w:tblW w:w="9206" w:type="dxa"/>
        <w:jc w:val="center"/>
        <w:tblLayout w:type="fixed"/>
        <w:tblCellMar>
          <w:top w:w="57" w:type="dxa"/>
          <w:left w:w="57" w:type="dxa"/>
          <w:bottom w:w="57" w:type="dxa"/>
          <w:right w:w="57" w:type="dxa"/>
        </w:tblCellMar>
        <w:tblLook w:val="01E0" w:firstRow="1" w:lastRow="1" w:firstColumn="1" w:lastColumn="1" w:noHBand="0" w:noVBand="0"/>
      </w:tblPr>
      <w:tblGrid>
        <w:gridCol w:w="2119"/>
        <w:gridCol w:w="992"/>
        <w:gridCol w:w="1549"/>
        <w:gridCol w:w="2285"/>
        <w:gridCol w:w="2261"/>
      </w:tblGrid>
      <w:tr w:rsidR="006B3AD9" w:rsidRPr="0045324C" w14:paraId="62F5409F" w14:textId="77777777" w:rsidTr="00D0367B">
        <w:trPr>
          <w:trHeight w:hRule="exact" w:val="580"/>
          <w:jc w:val="center"/>
        </w:trPr>
        <w:tc>
          <w:tcPr>
            <w:tcW w:w="2119" w:type="dxa"/>
            <w:tcBorders>
              <w:top w:val="single" w:sz="6" w:space="0" w:color="000000"/>
              <w:left w:val="single" w:sz="6" w:space="0" w:color="000000"/>
              <w:bottom w:val="single" w:sz="5" w:space="0" w:color="000000"/>
              <w:right w:val="single" w:sz="6" w:space="0" w:color="000000"/>
            </w:tcBorders>
            <w:vAlign w:val="center"/>
          </w:tcPr>
          <w:p w14:paraId="65C72EBD" w14:textId="77777777" w:rsidR="006B3AD9" w:rsidRPr="00380B40" w:rsidRDefault="0038628D" w:rsidP="0038628D">
            <w:pPr>
              <w:spacing w:line="220" w:lineRule="exact"/>
              <w:ind w:left="21"/>
              <w:rPr>
                <w:szCs w:val="22"/>
              </w:rPr>
            </w:pPr>
            <w:r w:rsidRPr="00D0367B">
              <w:rPr>
                <w:szCs w:val="22"/>
              </w:rPr>
              <w:t>Classe sistemico-organica</w:t>
            </w:r>
          </w:p>
        </w:tc>
        <w:tc>
          <w:tcPr>
            <w:tcW w:w="7087" w:type="dxa"/>
            <w:gridSpan w:val="4"/>
            <w:tcBorders>
              <w:top w:val="single" w:sz="6" w:space="0" w:color="000000"/>
              <w:left w:val="single" w:sz="6" w:space="0" w:color="000000"/>
              <w:bottom w:val="nil"/>
              <w:right w:val="single" w:sz="6" w:space="0" w:color="000000"/>
            </w:tcBorders>
            <w:vAlign w:val="center"/>
          </w:tcPr>
          <w:p w14:paraId="255903D8" w14:textId="77777777" w:rsidR="006B3AD9" w:rsidRPr="00380B40" w:rsidRDefault="0038628D" w:rsidP="0038628D">
            <w:pPr>
              <w:spacing w:line="220" w:lineRule="exact"/>
              <w:ind w:left="2258"/>
              <w:rPr>
                <w:szCs w:val="22"/>
              </w:rPr>
            </w:pPr>
            <w:r w:rsidRPr="00D0367B">
              <w:rPr>
                <w:szCs w:val="22"/>
              </w:rPr>
              <w:t>Reazione avversa per frequenza</w:t>
            </w:r>
          </w:p>
        </w:tc>
      </w:tr>
      <w:tr w:rsidR="006B3AD9" w:rsidRPr="0045324C" w14:paraId="777543A5" w14:textId="77777777" w:rsidTr="00D0367B">
        <w:trPr>
          <w:trHeight w:hRule="exact" w:val="1566"/>
          <w:jc w:val="center"/>
        </w:trPr>
        <w:tc>
          <w:tcPr>
            <w:tcW w:w="2119" w:type="dxa"/>
            <w:tcBorders>
              <w:top w:val="single" w:sz="5" w:space="0" w:color="000000"/>
              <w:left w:val="single" w:sz="6" w:space="0" w:color="000000"/>
              <w:bottom w:val="single" w:sz="5" w:space="0" w:color="000000"/>
              <w:right w:val="single" w:sz="6" w:space="0" w:color="000000"/>
            </w:tcBorders>
          </w:tcPr>
          <w:p w14:paraId="75BCF4B7" w14:textId="77777777" w:rsidR="006B3AD9" w:rsidRPr="0045324C" w:rsidRDefault="006B3AD9" w:rsidP="002E28BF">
            <w:pPr>
              <w:rPr>
                <w:szCs w:val="22"/>
              </w:rPr>
            </w:pPr>
          </w:p>
        </w:tc>
        <w:tc>
          <w:tcPr>
            <w:tcW w:w="992" w:type="dxa"/>
            <w:tcBorders>
              <w:top w:val="single" w:sz="5" w:space="0" w:color="000000"/>
              <w:left w:val="single" w:sz="6" w:space="0" w:color="000000"/>
              <w:bottom w:val="single" w:sz="5" w:space="0" w:color="000000"/>
              <w:right w:val="single" w:sz="6" w:space="0" w:color="000000"/>
            </w:tcBorders>
            <w:vAlign w:val="center"/>
          </w:tcPr>
          <w:p w14:paraId="6D051254" w14:textId="77777777" w:rsidR="006B3AD9" w:rsidRPr="00D0367B" w:rsidRDefault="0038628D" w:rsidP="00A50720">
            <w:pPr>
              <w:rPr>
                <w:bCs/>
              </w:rPr>
            </w:pPr>
            <w:r w:rsidRPr="00D0367B">
              <w:rPr>
                <w:bCs/>
              </w:rPr>
              <w:t>Molto comune</w:t>
            </w:r>
          </w:p>
          <w:p w14:paraId="769D1879" w14:textId="77777777" w:rsidR="006B3AD9" w:rsidRPr="00D0367B" w:rsidRDefault="006B3AD9" w:rsidP="00A50720">
            <w:pPr>
              <w:rPr>
                <w:bCs/>
              </w:rPr>
            </w:pPr>
            <w:r w:rsidRPr="00D0367B">
              <w:rPr>
                <w:bCs/>
              </w:rPr>
              <w:t>≥ 1/10</w:t>
            </w:r>
          </w:p>
        </w:tc>
        <w:tc>
          <w:tcPr>
            <w:tcW w:w="1549" w:type="dxa"/>
            <w:tcBorders>
              <w:top w:val="single" w:sz="5" w:space="0" w:color="000000"/>
              <w:left w:val="single" w:sz="6" w:space="0" w:color="000000"/>
              <w:bottom w:val="single" w:sz="5" w:space="0" w:color="000000"/>
              <w:right w:val="single" w:sz="6" w:space="0" w:color="000000"/>
            </w:tcBorders>
            <w:vAlign w:val="center"/>
          </w:tcPr>
          <w:p w14:paraId="03C0D2D2" w14:textId="77777777" w:rsidR="0038628D" w:rsidRPr="00D0367B" w:rsidRDefault="0038628D" w:rsidP="00A50720">
            <w:pPr>
              <w:rPr>
                <w:bCs/>
              </w:rPr>
            </w:pPr>
            <w:r w:rsidRPr="00D0367B">
              <w:rPr>
                <w:bCs/>
              </w:rPr>
              <w:t>Comune</w:t>
            </w:r>
          </w:p>
          <w:p w14:paraId="17647551" w14:textId="77777777" w:rsidR="006B3AD9" w:rsidRPr="00D0367B" w:rsidRDefault="0038628D" w:rsidP="00A50720">
            <w:pPr>
              <w:rPr>
                <w:bCs/>
              </w:rPr>
            </w:pPr>
            <w:r w:rsidRPr="00D0367B">
              <w:rPr>
                <w:bCs/>
              </w:rPr>
              <w:t xml:space="preserve">da ≥ 1/100 a </w:t>
            </w:r>
            <w:r w:rsidR="006B3AD9" w:rsidRPr="00D0367B">
              <w:rPr>
                <w:bCs/>
              </w:rPr>
              <w:t>&lt;1/10</w:t>
            </w:r>
          </w:p>
        </w:tc>
        <w:tc>
          <w:tcPr>
            <w:tcW w:w="2285" w:type="dxa"/>
            <w:tcBorders>
              <w:top w:val="single" w:sz="5" w:space="0" w:color="000000"/>
              <w:left w:val="single" w:sz="6" w:space="0" w:color="000000"/>
              <w:bottom w:val="single" w:sz="5" w:space="0" w:color="000000"/>
              <w:right w:val="single" w:sz="6" w:space="0" w:color="000000"/>
            </w:tcBorders>
            <w:vAlign w:val="center"/>
          </w:tcPr>
          <w:p w14:paraId="03F572A8" w14:textId="77777777" w:rsidR="0038628D" w:rsidRPr="00D0367B" w:rsidRDefault="0038628D" w:rsidP="00A50720">
            <w:pPr>
              <w:rPr>
                <w:bCs/>
              </w:rPr>
            </w:pPr>
            <w:r w:rsidRPr="00D0367B">
              <w:rPr>
                <w:bCs/>
              </w:rPr>
              <w:t>Non comune</w:t>
            </w:r>
          </w:p>
          <w:p w14:paraId="7A3C3C6B" w14:textId="4F205EAF" w:rsidR="006B3AD9" w:rsidRPr="00D0367B" w:rsidRDefault="0038628D" w:rsidP="00A50720">
            <w:pPr>
              <w:rPr>
                <w:bCs/>
              </w:rPr>
            </w:pPr>
            <w:r w:rsidRPr="00D0367B">
              <w:rPr>
                <w:bCs/>
              </w:rPr>
              <w:t>da ≥ 1/1</w:t>
            </w:r>
            <w:r w:rsidR="0045324C">
              <w:rPr>
                <w:bCs/>
              </w:rPr>
              <w:t> </w:t>
            </w:r>
            <w:r w:rsidRPr="00D0367B">
              <w:rPr>
                <w:bCs/>
              </w:rPr>
              <w:t>000 a</w:t>
            </w:r>
            <w:r w:rsidR="006B3AD9" w:rsidRPr="00D0367B">
              <w:rPr>
                <w:bCs/>
              </w:rPr>
              <w:t xml:space="preserve"> &lt; 1/100</w:t>
            </w:r>
          </w:p>
        </w:tc>
        <w:tc>
          <w:tcPr>
            <w:tcW w:w="2261" w:type="dxa"/>
            <w:tcBorders>
              <w:top w:val="single" w:sz="5" w:space="0" w:color="000000"/>
              <w:left w:val="single" w:sz="6" w:space="0" w:color="000000"/>
              <w:bottom w:val="single" w:sz="5" w:space="0" w:color="000000"/>
              <w:right w:val="single" w:sz="6" w:space="0" w:color="000000"/>
            </w:tcBorders>
            <w:vAlign w:val="center"/>
          </w:tcPr>
          <w:p w14:paraId="4BFA2087" w14:textId="77777777" w:rsidR="0045324C" w:rsidRDefault="0038628D" w:rsidP="00A50720">
            <w:pPr>
              <w:rPr>
                <w:bCs/>
              </w:rPr>
            </w:pPr>
            <w:r w:rsidRPr="00D0367B">
              <w:rPr>
                <w:bCs/>
              </w:rPr>
              <w:t xml:space="preserve">Non nota </w:t>
            </w:r>
          </w:p>
          <w:p w14:paraId="73E6C735" w14:textId="55BEC8D0" w:rsidR="006B3AD9" w:rsidRPr="00D0367B" w:rsidRDefault="0038628D" w:rsidP="00A50720">
            <w:pPr>
              <w:rPr>
                <w:bCs/>
              </w:rPr>
            </w:pPr>
            <w:r w:rsidRPr="00D0367B">
              <w:rPr>
                <w:bCs/>
              </w:rPr>
              <w:t>(la frequenza non può essere definita sulla base dei dati disponibili)</w:t>
            </w:r>
          </w:p>
        </w:tc>
      </w:tr>
      <w:tr w:rsidR="006B3AD9" w:rsidRPr="0045324C" w14:paraId="3BAAC597" w14:textId="77777777" w:rsidTr="00D0367B">
        <w:trPr>
          <w:trHeight w:hRule="exact" w:val="935"/>
          <w:jc w:val="center"/>
        </w:trPr>
        <w:tc>
          <w:tcPr>
            <w:tcW w:w="2119" w:type="dxa"/>
            <w:tcBorders>
              <w:top w:val="single" w:sz="5" w:space="0" w:color="000000"/>
              <w:left w:val="single" w:sz="6" w:space="0" w:color="000000"/>
              <w:bottom w:val="single" w:sz="5" w:space="0" w:color="000000"/>
              <w:right w:val="single" w:sz="6" w:space="0" w:color="000000"/>
            </w:tcBorders>
          </w:tcPr>
          <w:p w14:paraId="6D38FB2F" w14:textId="27DD415C" w:rsidR="006B3AD9" w:rsidRPr="00380B40" w:rsidRDefault="002E28BF" w:rsidP="00380B40">
            <w:pPr>
              <w:spacing w:before="3" w:line="220" w:lineRule="exact"/>
              <w:ind w:left="21" w:right="455"/>
              <w:rPr>
                <w:szCs w:val="22"/>
              </w:rPr>
            </w:pPr>
            <w:r w:rsidRPr="00D0367B">
              <w:rPr>
                <w:spacing w:val="-1"/>
                <w:szCs w:val="22"/>
              </w:rPr>
              <w:t>Disturbi del sistema</w:t>
            </w:r>
            <w:r w:rsidR="0045324C">
              <w:rPr>
                <w:spacing w:val="-1"/>
                <w:szCs w:val="22"/>
              </w:rPr>
              <w:t xml:space="preserve"> </w:t>
            </w:r>
            <w:r w:rsidRPr="00D0367B">
              <w:rPr>
                <w:spacing w:val="-1"/>
                <w:szCs w:val="22"/>
              </w:rPr>
              <w:t>immunitario</w:t>
            </w:r>
          </w:p>
        </w:tc>
        <w:tc>
          <w:tcPr>
            <w:tcW w:w="992" w:type="dxa"/>
            <w:tcBorders>
              <w:top w:val="single" w:sz="5" w:space="0" w:color="000000"/>
              <w:left w:val="single" w:sz="6" w:space="0" w:color="000000"/>
              <w:bottom w:val="single" w:sz="5" w:space="0" w:color="000000"/>
              <w:right w:val="single" w:sz="6" w:space="0" w:color="000000"/>
            </w:tcBorders>
          </w:tcPr>
          <w:p w14:paraId="3E092F1D" w14:textId="77777777" w:rsidR="006B3AD9" w:rsidRPr="0045324C"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01613AE3" w14:textId="77777777" w:rsidR="006B3AD9" w:rsidRPr="0045324C" w:rsidRDefault="006B3AD9" w:rsidP="002E28BF">
            <w:pPr>
              <w:rPr>
                <w:szCs w:val="22"/>
              </w:rPr>
            </w:pPr>
          </w:p>
        </w:tc>
        <w:tc>
          <w:tcPr>
            <w:tcW w:w="2285" w:type="dxa"/>
            <w:tcBorders>
              <w:top w:val="single" w:sz="5" w:space="0" w:color="000000"/>
              <w:left w:val="single" w:sz="6" w:space="0" w:color="000000"/>
              <w:bottom w:val="single" w:sz="5" w:space="0" w:color="000000"/>
              <w:right w:val="single" w:sz="6" w:space="0" w:color="000000"/>
            </w:tcBorders>
          </w:tcPr>
          <w:p w14:paraId="0A1CD7A8" w14:textId="77777777" w:rsidR="006B3AD9" w:rsidRPr="0045324C" w:rsidRDefault="002E28BF" w:rsidP="002E28BF">
            <w:pPr>
              <w:spacing w:line="220" w:lineRule="exact"/>
              <w:ind w:left="23"/>
              <w:rPr>
                <w:szCs w:val="22"/>
              </w:rPr>
            </w:pPr>
            <w:r w:rsidRPr="0045324C">
              <w:rPr>
                <w:szCs w:val="22"/>
              </w:rPr>
              <w:t>Ipersensibilità</w:t>
            </w:r>
          </w:p>
        </w:tc>
        <w:tc>
          <w:tcPr>
            <w:tcW w:w="2261" w:type="dxa"/>
            <w:tcBorders>
              <w:top w:val="single" w:sz="5" w:space="0" w:color="000000"/>
              <w:left w:val="single" w:sz="6" w:space="0" w:color="000000"/>
              <w:bottom w:val="single" w:sz="5" w:space="0" w:color="000000"/>
              <w:right w:val="single" w:sz="6" w:space="0" w:color="000000"/>
            </w:tcBorders>
          </w:tcPr>
          <w:p w14:paraId="0F89FC8F" w14:textId="77777777" w:rsidR="006B3AD9" w:rsidRPr="0045324C" w:rsidRDefault="006B3AD9" w:rsidP="002E28BF">
            <w:pPr>
              <w:rPr>
                <w:szCs w:val="22"/>
              </w:rPr>
            </w:pPr>
          </w:p>
        </w:tc>
      </w:tr>
      <w:tr w:rsidR="006B3AD9" w:rsidRPr="0045324C" w14:paraId="632CABDA" w14:textId="77777777" w:rsidTr="00D0367B">
        <w:trPr>
          <w:trHeight w:hRule="exact" w:val="728"/>
          <w:jc w:val="center"/>
        </w:trPr>
        <w:tc>
          <w:tcPr>
            <w:tcW w:w="2119" w:type="dxa"/>
            <w:tcBorders>
              <w:top w:val="single" w:sz="5" w:space="0" w:color="000000"/>
              <w:left w:val="single" w:sz="6" w:space="0" w:color="000000"/>
              <w:bottom w:val="single" w:sz="5" w:space="0" w:color="000000"/>
              <w:right w:val="single" w:sz="6" w:space="0" w:color="000000"/>
            </w:tcBorders>
          </w:tcPr>
          <w:p w14:paraId="21E7963C" w14:textId="6E213279" w:rsidR="006B3AD9" w:rsidRPr="00380B40" w:rsidRDefault="002E28BF" w:rsidP="00380B40">
            <w:pPr>
              <w:spacing w:before="2" w:line="220" w:lineRule="exact"/>
              <w:ind w:left="21" w:right="188"/>
              <w:rPr>
                <w:szCs w:val="22"/>
              </w:rPr>
            </w:pPr>
            <w:r w:rsidRPr="00D0367B">
              <w:rPr>
                <w:spacing w:val="-1"/>
                <w:szCs w:val="22"/>
              </w:rPr>
              <w:t>Disturbi del metabolismo e della</w:t>
            </w:r>
            <w:r w:rsidR="0045324C">
              <w:rPr>
                <w:spacing w:val="-1"/>
                <w:szCs w:val="22"/>
              </w:rPr>
              <w:t xml:space="preserve"> </w:t>
            </w:r>
            <w:r w:rsidRPr="00D0367B">
              <w:rPr>
                <w:spacing w:val="-1"/>
                <w:szCs w:val="22"/>
              </w:rPr>
              <w:t xml:space="preserve">nutrizione </w:t>
            </w:r>
          </w:p>
        </w:tc>
        <w:tc>
          <w:tcPr>
            <w:tcW w:w="992" w:type="dxa"/>
            <w:tcBorders>
              <w:top w:val="single" w:sz="5" w:space="0" w:color="000000"/>
              <w:left w:val="single" w:sz="6" w:space="0" w:color="000000"/>
              <w:bottom w:val="single" w:sz="5" w:space="0" w:color="000000"/>
              <w:right w:val="single" w:sz="6" w:space="0" w:color="000000"/>
            </w:tcBorders>
          </w:tcPr>
          <w:p w14:paraId="4C7B400E" w14:textId="77777777" w:rsidR="006B3AD9" w:rsidRPr="0045324C"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2F554522" w14:textId="77777777" w:rsidR="006B3AD9" w:rsidRPr="0045324C" w:rsidRDefault="006B3AD9" w:rsidP="002E28BF">
            <w:pPr>
              <w:rPr>
                <w:szCs w:val="22"/>
              </w:rPr>
            </w:pPr>
          </w:p>
        </w:tc>
        <w:tc>
          <w:tcPr>
            <w:tcW w:w="2285" w:type="dxa"/>
            <w:tcBorders>
              <w:top w:val="single" w:sz="5" w:space="0" w:color="000000"/>
              <w:left w:val="single" w:sz="6" w:space="0" w:color="000000"/>
              <w:bottom w:val="single" w:sz="5" w:space="0" w:color="000000"/>
              <w:right w:val="single" w:sz="6" w:space="0" w:color="000000"/>
            </w:tcBorders>
          </w:tcPr>
          <w:p w14:paraId="754A0057" w14:textId="77777777" w:rsidR="002E28BF" w:rsidRPr="0045324C" w:rsidRDefault="002E28BF" w:rsidP="002E28BF">
            <w:pPr>
              <w:ind w:left="23"/>
              <w:rPr>
                <w:szCs w:val="22"/>
              </w:rPr>
            </w:pPr>
            <w:r w:rsidRPr="0045324C">
              <w:rPr>
                <w:szCs w:val="22"/>
              </w:rPr>
              <w:t xml:space="preserve">Anoressia </w:t>
            </w:r>
          </w:p>
          <w:p w14:paraId="32FC0563" w14:textId="77777777" w:rsidR="006B3AD9" w:rsidRPr="0045324C" w:rsidRDefault="002E28BF" w:rsidP="002E28BF">
            <w:pPr>
              <w:ind w:left="23"/>
              <w:rPr>
                <w:szCs w:val="22"/>
              </w:rPr>
            </w:pPr>
            <w:r w:rsidRPr="0045324C">
              <w:rPr>
                <w:szCs w:val="22"/>
              </w:rPr>
              <w:t>Calo dell</w:t>
            </w:r>
            <w:r w:rsidR="00393B71" w:rsidRPr="0045324C">
              <w:rPr>
                <w:szCs w:val="22"/>
              </w:rPr>
              <w:t>’</w:t>
            </w:r>
            <w:r w:rsidRPr="0045324C">
              <w:rPr>
                <w:szCs w:val="22"/>
              </w:rPr>
              <w:t>appetito</w:t>
            </w:r>
          </w:p>
        </w:tc>
        <w:tc>
          <w:tcPr>
            <w:tcW w:w="2261" w:type="dxa"/>
            <w:tcBorders>
              <w:top w:val="single" w:sz="5" w:space="0" w:color="000000"/>
              <w:left w:val="single" w:sz="6" w:space="0" w:color="000000"/>
              <w:bottom w:val="single" w:sz="5" w:space="0" w:color="000000"/>
              <w:right w:val="single" w:sz="6" w:space="0" w:color="000000"/>
            </w:tcBorders>
          </w:tcPr>
          <w:p w14:paraId="09678381" w14:textId="77777777" w:rsidR="006B3AD9" w:rsidRPr="0045324C" w:rsidRDefault="006B3AD9" w:rsidP="002E28BF">
            <w:pPr>
              <w:rPr>
                <w:szCs w:val="22"/>
              </w:rPr>
            </w:pPr>
          </w:p>
        </w:tc>
      </w:tr>
      <w:tr w:rsidR="00720B2D" w:rsidRPr="0045324C" w14:paraId="5551701C" w14:textId="77777777" w:rsidTr="00D0367B">
        <w:trPr>
          <w:trHeight w:hRule="exact" w:val="3272"/>
          <w:jc w:val="center"/>
        </w:trPr>
        <w:tc>
          <w:tcPr>
            <w:tcW w:w="2119" w:type="dxa"/>
            <w:tcBorders>
              <w:top w:val="single" w:sz="5" w:space="0" w:color="000000"/>
              <w:left w:val="single" w:sz="6" w:space="0" w:color="000000"/>
              <w:bottom w:val="single" w:sz="5" w:space="0" w:color="000000"/>
              <w:right w:val="single" w:sz="6" w:space="0" w:color="000000"/>
            </w:tcBorders>
          </w:tcPr>
          <w:p w14:paraId="2A58F6ED" w14:textId="0A9A33D0" w:rsidR="006B3AD9" w:rsidRPr="00D0367B" w:rsidRDefault="002E28BF" w:rsidP="00380B40">
            <w:pPr>
              <w:spacing w:before="2" w:line="220" w:lineRule="exact"/>
              <w:ind w:left="21" w:right="188"/>
              <w:rPr>
                <w:spacing w:val="-1"/>
                <w:szCs w:val="22"/>
              </w:rPr>
            </w:pPr>
            <w:r w:rsidRPr="00D0367B">
              <w:rPr>
                <w:szCs w:val="22"/>
              </w:rPr>
              <w:t>Disturbi</w:t>
            </w:r>
            <w:r w:rsidR="0045324C">
              <w:rPr>
                <w:szCs w:val="22"/>
              </w:rPr>
              <w:t xml:space="preserve"> </w:t>
            </w:r>
            <w:r w:rsidRPr="00D0367B">
              <w:rPr>
                <w:szCs w:val="22"/>
              </w:rPr>
              <w:t>psichiatrici</w:t>
            </w:r>
          </w:p>
        </w:tc>
        <w:tc>
          <w:tcPr>
            <w:tcW w:w="992" w:type="dxa"/>
            <w:tcBorders>
              <w:top w:val="single" w:sz="5" w:space="0" w:color="000000"/>
              <w:left w:val="single" w:sz="6" w:space="0" w:color="000000"/>
              <w:bottom w:val="single" w:sz="5" w:space="0" w:color="000000"/>
              <w:right w:val="single" w:sz="6" w:space="0" w:color="000000"/>
            </w:tcBorders>
          </w:tcPr>
          <w:p w14:paraId="3205A22A" w14:textId="77777777" w:rsidR="006B3AD9" w:rsidRPr="00380B40"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1D2AE45A" w14:textId="77777777" w:rsidR="006B3AD9" w:rsidRPr="0045324C" w:rsidRDefault="006B3AD9" w:rsidP="002E28BF">
            <w:pPr>
              <w:rPr>
                <w:szCs w:val="22"/>
              </w:rPr>
            </w:pPr>
          </w:p>
        </w:tc>
        <w:tc>
          <w:tcPr>
            <w:tcW w:w="2285" w:type="dxa"/>
            <w:tcBorders>
              <w:top w:val="single" w:sz="5" w:space="0" w:color="000000"/>
              <w:left w:val="single" w:sz="6" w:space="0" w:color="000000"/>
              <w:bottom w:val="single" w:sz="5" w:space="0" w:color="000000"/>
              <w:right w:val="single" w:sz="6" w:space="0" w:color="000000"/>
            </w:tcBorders>
          </w:tcPr>
          <w:p w14:paraId="118701ED" w14:textId="77777777" w:rsidR="002E28BF" w:rsidRPr="0045324C" w:rsidRDefault="002E28BF" w:rsidP="002E28BF">
            <w:pPr>
              <w:spacing w:before="2" w:line="220" w:lineRule="exact"/>
              <w:ind w:left="23" w:right="608"/>
              <w:rPr>
                <w:szCs w:val="22"/>
              </w:rPr>
            </w:pPr>
            <w:r w:rsidRPr="0045324C">
              <w:rPr>
                <w:szCs w:val="22"/>
              </w:rPr>
              <w:t>Depressione</w:t>
            </w:r>
          </w:p>
          <w:p w14:paraId="0361A18A" w14:textId="77777777" w:rsidR="002E28BF" w:rsidRPr="0045324C" w:rsidRDefault="002E28BF" w:rsidP="002E28BF">
            <w:pPr>
              <w:spacing w:before="2" w:line="220" w:lineRule="exact"/>
              <w:ind w:left="23" w:right="608"/>
              <w:rPr>
                <w:szCs w:val="22"/>
              </w:rPr>
            </w:pPr>
            <w:r w:rsidRPr="0045324C">
              <w:rPr>
                <w:szCs w:val="22"/>
              </w:rPr>
              <w:t>Paranoia</w:t>
            </w:r>
          </w:p>
          <w:p w14:paraId="537EE6B3" w14:textId="77777777" w:rsidR="002E28BF" w:rsidRPr="0045324C" w:rsidRDefault="002E28BF" w:rsidP="002E28BF">
            <w:pPr>
              <w:spacing w:before="2" w:line="220" w:lineRule="exact"/>
              <w:ind w:left="23" w:right="608"/>
              <w:rPr>
                <w:szCs w:val="22"/>
              </w:rPr>
            </w:pPr>
            <w:r w:rsidRPr="0045324C">
              <w:rPr>
                <w:szCs w:val="22"/>
              </w:rPr>
              <w:t>Stato confusionale</w:t>
            </w:r>
          </w:p>
          <w:p w14:paraId="46654A60" w14:textId="77777777" w:rsidR="002E28BF" w:rsidRPr="0045324C" w:rsidRDefault="002E28BF" w:rsidP="002E28BF">
            <w:pPr>
              <w:spacing w:before="2" w:line="220" w:lineRule="exact"/>
              <w:ind w:left="23" w:right="608"/>
              <w:rPr>
                <w:szCs w:val="22"/>
              </w:rPr>
            </w:pPr>
            <w:r w:rsidRPr="0045324C">
              <w:rPr>
                <w:szCs w:val="22"/>
              </w:rPr>
              <w:t>Disorientamento</w:t>
            </w:r>
          </w:p>
          <w:p w14:paraId="36E32D8D" w14:textId="77777777" w:rsidR="002E28BF" w:rsidRPr="0045324C" w:rsidRDefault="002E28BF" w:rsidP="00A50720">
            <w:pPr>
              <w:tabs>
                <w:tab w:val="left" w:pos="1435"/>
              </w:tabs>
              <w:spacing w:before="2" w:line="220" w:lineRule="exact"/>
              <w:ind w:left="23" w:right="147"/>
              <w:rPr>
                <w:szCs w:val="22"/>
              </w:rPr>
            </w:pPr>
            <w:r w:rsidRPr="0045324C">
              <w:rPr>
                <w:szCs w:val="22"/>
              </w:rPr>
              <w:t>Alterazioni dello</w:t>
            </w:r>
            <w:r w:rsidR="00A50720" w:rsidRPr="0045324C">
              <w:rPr>
                <w:szCs w:val="22"/>
              </w:rPr>
              <w:t xml:space="preserve"> </w:t>
            </w:r>
            <w:r w:rsidRPr="0045324C">
              <w:rPr>
                <w:szCs w:val="22"/>
              </w:rPr>
              <w:t>stato mentale</w:t>
            </w:r>
          </w:p>
          <w:p w14:paraId="44574A8C" w14:textId="77777777" w:rsidR="002E28BF" w:rsidRPr="0045324C" w:rsidRDefault="002E28BF" w:rsidP="002E28BF">
            <w:pPr>
              <w:spacing w:before="2" w:line="220" w:lineRule="exact"/>
              <w:ind w:left="23" w:right="608"/>
              <w:rPr>
                <w:szCs w:val="22"/>
              </w:rPr>
            </w:pPr>
            <w:r w:rsidRPr="0045324C">
              <w:rPr>
                <w:szCs w:val="22"/>
              </w:rPr>
              <w:t>Ansia</w:t>
            </w:r>
          </w:p>
          <w:p w14:paraId="63D3ABE8" w14:textId="77777777" w:rsidR="002E28BF" w:rsidRPr="0045324C" w:rsidRDefault="002E28BF" w:rsidP="002E28BF">
            <w:pPr>
              <w:spacing w:before="2" w:line="220" w:lineRule="exact"/>
              <w:ind w:left="23" w:right="608"/>
              <w:rPr>
                <w:szCs w:val="22"/>
              </w:rPr>
            </w:pPr>
            <w:r w:rsidRPr="0045324C">
              <w:rPr>
                <w:szCs w:val="22"/>
              </w:rPr>
              <w:t>Umore euforico</w:t>
            </w:r>
          </w:p>
          <w:p w14:paraId="4A76D552" w14:textId="77777777" w:rsidR="002E28BF" w:rsidRPr="0045324C" w:rsidRDefault="002E28BF" w:rsidP="002E28BF">
            <w:pPr>
              <w:spacing w:before="2" w:line="220" w:lineRule="exact"/>
              <w:ind w:left="23" w:right="608"/>
              <w:rPr>
                <w:szCs w:val="22"/>
              </w:rPr>
            </w:pPr>
            <w:r w:rsidRPr="0045324C">
              <w:rPr>
                <w:szCs w:val="22"/>
              </w:rPr>
              <w:t>Disforia</w:t>
            </w:r>
          </w:p>
          <w:p w14:paraId="4BE29629" w14:textId="77777777" w:rsidR="002E28BF" w:rsidRPr="0045324C" w:rsidRDefault="002E28BF" w:rsidP="002E28BF">
            <w:pPr>
              <w:spacing w:before="2" w:line="220" w:lineRule="exact"/>
              <w:ind w:left="23" w:right="608"/>
              <w:rPr>
                <w:szCs w:val="22"/>
              </w:rPr>
            </w:pPr>
            <w:r w:rsidRPr="0045324C">
              <w:rPr>
                <w:szCs w:val="22"/>
              </w:rPr>
              <w:t>Labilità emotiva</w:t>
            </w:r>
          </w:p>
          <w:p w14:paraId="4EA787E6" w14:textId="77777777" w:rsidR="002E28BF" w:rsidRPr="0045324C" w:rsidRDefault="002E28BF" w:rsidP="00020D95">
            <w:pPr>
              <w:spacing w:before="2" w:line="220" w:lineRule="exact"/>
              <w:ind w:left="23" w:right="147"/>
              <w:rPr>
                <w:szCs w:val="22"/>
              </w:rPr>
            </w:pPr>
            <w:r w:rsidRPr="0045324C">
              <w:rPr>
                <w:szCs w:val="22"/>
              </w:rPr>
              <w:t>Disturbo</w:t>
            </w:r>
            <w:r w:rsidR="00A50720" w:rsidRPr="0045324C">
              <w:rPr>
                <w:szCs w:val="22"/>
              </w:rPr>
              <w:t xml:space="preserve"> </w:t>
            </w:r>
            <w:r w:rsidRPr="0045324C">
              <w:rPr>
                <w:szCs w:val="22"/>
              </w:rPr>
              <w:t>dell</w:t>
            </w:r>
            <w:r w:rsidR="00393B71" w:rsidRPr="0045324C">
              <w:rPr>
                <w:szCs w:val="22"/>
              </w:rPr>
              <w:t>’</w:t>
            </w:r>
            <w:r w:rsidRPr="0045324C">
              <w:rPr>
                <w:szCs w:val="22"/>
              </w:rPr>
              <w:t>attenzione</w:t>
            </w:r>
          </w:p>
          <w:p w14:paraId="0C1556B4" w14:textId="77777777" w:rsidR="006B3AD9" w:rsidRPr="0045324C" w:rsidRDefault="002E28BF" w:rsidP="002E28BF">
            <w:pPr>
              <w:spacing w:line="220" w:lineRule="exact"/>
              <w:ind w:left="23"/>
              <w:rPr>
                <w:szCs w:val="22"/>
              </w:rPr>
            </w:pPr>
            <w:r w:rsidRPr="0045324C">
              <w:rPr>
                <w:szCs w:val="22"/>
              </w:rPr>
              <w:t>Insonnia</w:t>
            </w:r>
          </w:p>
        </w:tc>
        <w:tc>
          <w:tcPr>
            <w:tcW w:w="2261" w:type="dxa"/>
            <w:tcBorders>
              <w:top w:val="single" w:sz="5" w:space="0" w:color="000000"/>
              <w:left w:val="single" w:sz="6" w:space="0" w:color="000000"/>
              <w:bottom w:val="single" w:sz="5" w:space="0" w:color="000000"/>
              <w:right w:val="single" w:sz="6" w:space="0" w:color="000000"/>
            </w:tcBorders>
          </w:tcPr>
          <w:p w14:paraId="29ABEA32" w14:textId="77777777" w:rsidR="002E28BF" w:rsidRPr="0045324C" w:rsidRDefault="002E28BF" w:rsidP="002E28BF">
            <w:pPr>
              <w:spacing w:before="2" w:line="220" w:lineRule="exact"/>
              <w:ind w:left="23" w:right="248"/>
              <w:rPr>
                <w:szCs w:val="22"/>
              </w:rPr>
            </w:pPr>
            <w:r w:rsidRPr="0045324C">
              <w:rPr>
                <w:szCs w:val="22"/>
              </w:rPr>
              <w:t>Allucinazione</w:t>
            </w:r>
          </w:p>
          <w:p w14:paraId="4344397C" w14:textId="77777777" w:rsidR="002E28BF" w:rsidRPr="0045324C" w:rsidRDefault="002E28BF" w:rsidP="002E28BF">
            <w:pPr>
              <w:spacing w:before="2" w:line="220" w:lineRule="exact"/>
              <w:ind w:left="23" w:right="248"/>
              <w:rPr>
                <w:szCs w:val="22"/>
              </w:rPr>
            </w:pPr>
            <w:r w:rsidRPr="0045324C">
              <w:rPr>
                <w:szCs w:val="22"/>
              </w:rPr>
              <w:t>Farmacodipendenza</w:t>
            </w:r>
          </w:p>
          <w:p w14:paraId="2B5E222A" w14:textId="77777777" w:rsidR="006B3AD9" w:rsidRPr="0045324C" w:rsidRDefault="002E28BF" w:rsidP="002E28BF">
            <w:pPr>
              <w:rPr>
                <w:szCs w:val="22"/>
              </w:rPr>
            </w:pPr>
            <w:r w:rsidRPr="0045324C">
              <w:rPr>
                <w:szCs w:val="22"/>
              </w:rPr>
              <w:t>Abuso di farmaci</w:t>
            </w:r>
          </w:p>
        </w:tc>
      </w:tr>
      <w:tr w:rsidR="006B3AD9" w:rsidRPr="0045324C" w14:paraId="6CFAD0E9" w14:textId="77777777" w:rsidTr="00D0367B">
        <w:trPr>
          <w:trHeight w:hRule="exact" w:val="1674"/>
          <w:jc w:val="center"/>
        </w:trPr>
        <w:tc>
          <w:tcPr>
            <w:tcW w:w="2119" w:type="dxa"/>
            <w:tcBorders>
              <w:top w:val="single" w:sz="5" w:space="0" w:color="000000"/>
              <w:left w:val="single" w:sz="6" w:space="0" w:color="000000"/>
              <w:bottom w:val="single" w:sz="5" w:space="0" w:color="000000"/>
              <w:right w:val="single" w:sz="6" w:space="0" w:color="000000"/>
            </w:tcBorders>
          </w:tcPr>
          <w:p w14:paraId="3046CD9F" w14:textId="77777777" w:rsidR="006B3AD9" w:rsidRPr="00D0367B" w:rsidRDefault="00070BAA" w:rsidP="00A50720">
            <w:pPr>
              <w:spacing w:before="2" w:line="220" w:lineRule="exact"/>
              <w:ind w:left="21" w:right="188"/>
              <w:rPr>
                <w:szCs w:val="22"/>
              </w:rPr>
            </w:pPr>
            <w:r w:rsidRPr="00D0367B">
              <w:rPr>
                <w:szCs w:val="22"/>
              </w:rPr>
              <w:t>Patologie del</w:t>
            </w:r>
            <w:r w:rsidR="00A50720" w:rsidRPr="00D0367B">
              <w:rPr>
                <w:szCs w:val="22"/>
              </w:rPr>
              <w:t xml:space="preserve"> </w:t>
            </w:r>
            <w:r w:rsidRPr="00D0367B">
              <w:rPr>
                <w:szCs w:val="22"/>
              </w:rPr>
              <w:t>sistema nervoso</w:t>
            </w:r>
          </w:p>
        </w:tc>
        <w:tc>
          <w:tcPr>
            <w:tcW w:w="992" w:type="dxa"/>
            <w:tcBorders>
              <w:top w:val="single" w:sz="5" w:space="0" w:color="000000"/>
              <w:left w:val="single" w:sz="6" w:space="0" w:color="000000"/>
              <w:bottom w:val="single" w:sz="5" w:space="0" w:color="000000"/>
              <w:right w:val="single" w:sz="6" w:space="0" w:color="000000"/>
            </w:tcBorders>
          </w:tcPr>
          <w:p w14:paraId="274B125F" w14:textId="77777777" w:rsidR="006B3AD9" w:rsidRPr="00380B40"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060C968A" w14:textId="77777777" w:rsidR="00070BAA" w:rsidRPr="0045324C" w:rsidRDefault="00070BAA" w:rsidP="00070BAA">
            <w:pPr>
              <w:ind w:left="21"/>
              <w:rPr>
                <w:szCs w:val="22"/>
              </w:rPr>
            </w:pPr>
            <w:r w:rsidRPr="0045324C">
              <w:rPr>
                <w:szCs w:val="22"/>
              </w:rPr>
              <w:t>Capogiri</w:t>
            </w:r>
          </w:p>
          <w:p w14:paraId="2BF7DF4F" w14:textId="77777777" w:rsidR="00070BAA" w:rsidRPr="0045324C" w:rsidRDefault="00070BAA" w:rsidP="00070BAA">
            <w:pPr>
              <w:ind w:left="21"/>
              <w:rPr>
                <w:szCs w:val="22"/>
              </w:rPr>
            </w:pPr>
            <w:r w:rsidRPr="0045324C">
              <w:rPr>
                <w:szCs w:val="22"/>
              </w:rPr>
              <w:t>Cefalea</w:t>
            </w:r>
          </w:p>
          <w:p w14:paraId="5F3EB5DC" w14:textId="77777777" w:rsidR="006B3AD9" w:rsidRPr="0045324C" w:rsidRDefault="00070BAA" w:rsidP="00070BAA">
            <w:pPr>
              <w:rPr>
                <w:szCs w:val="22"/>
              </w:rPr>
            </w:pPr>
            <w:r w:rsidRPr="0045324C">
              <w:rPr>
                <w:szCs w:val="22"/>
              </w:rPr>
              <w:t>Sonnolenza</w:t>
            </w:r>
          </w:p>
        </w:tc>
        <w:tc>
          <w:tcPr>
            <w:tcW w:w="2285" w:type="dxa"/>
            <w:tcBorders>
              <w:top w:val="single" w:sz="5" w:space="0" w:color="000000"/>
              <w:left w:val="single" w:sz="6" w:space="0" w:color="000000"/>
              <w:bottom w:val="single" w:sz="5" w:space="0" w:color="000000"/>
              <w:right w:val="single" w:sz="6" w:space="0" w:color="000000"/>
            </w:tcBorders>
          </w:tcPr>
          <w:p w14:paraId="03D3A2CD" w14:textId="77777777" w:rsidR="00070BAA" w:rsidRPr="0045324C" w:rsidRDefault="00070BAA" w:rsidP="00070BAA">
            <w:pPr>
              <w:spacing w:before="2" w:line="220" w:lineRule="exact"/>
              <w:ind w:left="23" w:right="608"/>
              <w:rPr>
                <w:szCs w:val="22"/>
              </w:rPr>
            </w:pPr>
            <w:r w:rsidRPr="0045324C">
              <w:rPr>
                <w:szCs w:val="22"/>
              </w:rPr>
              <w:t>Amnesia</w:t>
            </w:r>
          </w:p>
          <w:p w14:paraId="691938D5" w14:textId="77777777" w:rsidR="00070BAA" w:rsidRPr="0045324C" w:rsidRDefault="00070BAA" w:rsidP="00070BAA">
            <w:pPr>
              <w:spacing w:before="2" w:line="220" w:lineRule="exact"/>
              <w:ind w:left="23" w:right="608"/>
              <w:rPr>
                <w:szCs w:val="22"/>
              </w:rPr>
            </w:pPr>
            <w:r w:rsidRPr="0045324C">
              <w:rPr>
                <w:szCs w:val="22"/>
              </w:rPr>
              <w:t>Parosmia</w:t>
            </w:r>
          </w:p>
          <w:p w14:paraId="07A64396" w14:textId="77777777" w:rsidR="00070BAA" w:rsidRPr="0045324C" w:rsidRDefault="00070BAA" w:rsidP="00070BAA">
            <w:pPr>
              <w:spacing w:before="2" w:line="220" w:lineRule="exact"/>
              <w:ind w:left="23" w:right="608"/>
              <w:rPr>
                <w:szCs w:val="22"/>
              </w:rPr>
            </w:pPr>
            <w:r w:rsidRPr="0045324C">
              <w:rPr>
                <w:szCs w:val="22"/>
              </w:rPr>
              <w:t>Disgeusia</w:t>
            </w:r>
          </w:p>
          <w:p w14:paraId="107B7CCE" w14:textId="77777777" w:rsidR="00070BAA" w:rsidRPr="0045324C" w:rsidRDefault="00070BAA" w:rsidP="00A50720">
            <w:pPr>
              <w:spacing w:before="2" w:line="220" w:lineRule="exact"/>
              <w:ind w:left="23" w:right="147"/>
              <w:rPr>
                <w:szCs w:val="22"/>
              </w:rPr>
            </w:pPr>
            <w:r w:rsidRPr="0045324C">
              <w:rPr>
                <w:szCs w:val="22"/>
              </w:rPr>
              <w:t>Tremore</w:t>
            </w:r>
          </w:p>
          <w:p w14:paraId="6C6F9DDC" w14:textId="77777777" w:rsidR="00070BAA" w:rsidRPr="0045324C" w:rsidRDefault="00070BAA" w:rsidP="00070BAA">
            <w:pPr>
              <w:spacing w:before="2" w:line="220" w:lineRule="exact"/>
              <w:ind w:left="23" w:right="608"/>
              <w:rPr>
                <w:szCs w:val="22"/>
              </w:rPr>
            </w:pPr>
            <w:r w:rsidRPr="0045324C">
              <w:rPr>
                <w:szCs w:val="22"/>
              </w:rPr>
              <w:t>Letargia</w:t>
            </w:r>
          </w:p>
          <w:p w14:paraId="1107F583" w14:textId="77777777" w:rsidR="00070BAA" w:rsidRPr="0045324C" w:rsidRDefault="00070BAA" w:rsidP="00070BAA">
            <w:pPr>
              <w:spacing w:before="2" w:line="220" w:lineRule="exact"/>
              <w:ind w:left="23" w:right="608"/>
              <w:rPr>
                <w:szCs w:val="22"/>
              </w:rPr>
            </w:pPr>
            <w:r w:rsidRPr="0045324C">
              <w:rPr>
                <w:szCs w:val="22"/>
              </w:rPr>
              <w:t>Ipoestesia</w:t>
            </w:r>
          </w:p>
          <w:p w14:paraId="79626E57" w14:textId="77777777" w:rsidR="006B3AD9" w:rsidRPr="0045324C" w:rsidRDefault="00070BAA" w:rsidP="00A50720">
            <w:pPr>
              <w:tabs>
                <w:tab w:val="left" w:pos="1435"/>
              </w:tabs>
              <w:spacing w:before="2" w:line="220" w:lineRule="exact"/>
              <w:ind w:left="23" w:right="147"/>
              <w:rPr>
                <w:szCs w:val="22"/>
              </w:rPr>
            </w:pPr>
            <w:r w:rsidRPr="0045324C">
              <w:rPr>
                <w:szCs w:val="22"/>
              </w:rPr>
              <w:t>Disturbo del sonno</w:t>
            </w:r>
          </w:p>
        </w:tc>
        <w:tc>
          <w:tcPr>
            <w:tcW w:w="2261" w:type="dxa"/>
            <w:tcBorders>
              <w:top w:val="single" w:sz="5" w:space="0" w:color="000000"/>
              <w:left w:val="single" w:sz="6" w:space="0" w:color="000000"/>
              <w:bottom w:val="single" w:sz="5" w:space="0" w:color="000000"/>
              <w:right w:val="single" w:sz="6" w:space="0" w:color="000000"/>
            </w:tcBorders>
          </w:tcPr>
          <w:p w14:paraId="502FF1F2" w14:textId="77777777" w:rsidR="00070BAA" w:rsidRPr="0045324C" w:rsidRDefault="00070BAA" w:rsidP="00070BAA">
            <w:pPr>
              <w:spacing w:line="220" w:lineRule="exact"/>
              <w:ind w:left="23"/>
              <w:rPr>
                <w:szCs w:val="22"/>
              </w:rPr>
            </w:pPr>
            <w:r w:rsidRPr="0045324C">
              <w:rPr>
                <w:szCs w:val="22"/>
              </w:rPr>
              <w:t>Convulsione</w:t>
            </w:r>
          </w:p>
          <w:p w14:paraId="5A61B1F2" w14:textId="77777777" w:rsidR="00070BAA" w:rsidRPr="0045324C" w:rsidRDefault="00070BAA" w:rsidP="00070BAA">
            <w:pPr>
              <w:spacing w:line="220" w:lineRule="exact"/>
              <w:ind w:left="23"/>
              <w:rPr>
                <w:szCs w:val="22"/>
              </w:rPr>
            </w:pPr>
            <w:r w:rsidRPr="0045324C">
              <w:rPr>
                <w:szCs w:val="22"/>
              </w:rPr>
              <w:t>Ridotto livello di</w:t>
            </w:r>
            <w:r w:rsidR="00A50720" w:rsidRPr="0045324C">
              <w:rPr>
                <w:szCs w:val="22"/>
              </w:rPr>
              <w:t xml:space="preserve"> </w:t>
            </w:r>
            <w:r w:rsidRPr="0045324C">
              <w:rPr>
                <w:szCs w:val="22"/>
              </w:rPr>
              <w:t>coscienza</w:t>
            </w:r>
          </w:p>
          <w:p w14:paraId="70F4735E" w14:textId="77777777" w:rsidR="006B3AD9" w:rsidRPr="0045324C" w:rsidRDefault="00070BAA" w:rsidP="00A50720">
            <w:pPr>
              <w:spacing w:line="220" w:lineRule="exact"/>
              <w:ind w:left="23"/>
              <w:rPr>
                <w:szCs w:val="22"/>
              </w:rPr>
            </w:pPr>
            <w:r w:rsidRPr="0045324C">
              <w:rPr>
                <w:szCs w:val="22"/>
              </w:rPr>
              <w:t>Perdita di</w:t>
            </w:r>
            <w:r w:rsidR="00A50720" w:rsidRPr="0045324C">
              <w:rPr>
                <w:szCs w:val="22"/>
              </w:rPr>
              <w:t xml:space="preserve"> </w:t>
            </w:r>
            <w:r w:rsidRPr="0045324C">
              <w:rPr>
                <w:szCs w:val="22"/>
              </w:rPr>
              <w:t>conoscenza</w:t>
            </w:r>
          </w:p>
        </w:tc>
      </w:tr>
      <w:tr w:rsidR="006B3AD9" w:rsidRPr="0045324C" w14:paraId="623F0F51" w14:textId="77777777" w:rsidTr="00D0367B">
        <w:trPr>
          <w:trHeight w:hRule="exact" w:val="563"/>
          <w:jc w:val="center"/>
        </w:trPr>
        <w:tc>
          <w:tcPr>
            <w:tcW w:w="2119" w:type="dxa"/>
            <w:tcBorders>
              <w:top w:val="single" w:sz="5" w:space="0" w:color="000000"/>
              <w:left w:val="single" w:sz="6" w:space="0" w:color="000000"/>
              <w:bottom w:val="single" w:sz="5" w:space="0" w:color="000000"/>
              <w:right w:val="single" w:sz="6" w:space="0" w:color="000000"/>
            </w:tcBorders>
          </w:tcPr>
          <w:p w14:paraId="6D2D6CE8" w14:textId="77777777" w:rsidR="006B3AD9" w:rsidRPr="00D0367B" w:rsidRDefault="00070BAA" w:rsidP="00A50720">
            <w:pPr>
              <w:spacing w:before="2" w:line="220" w:lineRule="exact"/>
              <w:ind w:left="21" w:right="188"/>
              <w:rPr>
                <w:szCs w:val="22"/>
              </w:rPr>
            </w:pPr>
            <w:r w:rsidRPr="00D0367B">
              <w:rPr>
                <w:spacing w:val="-1"/>
                <w:szCs w:val="22"/>
              </w:rPr>
              <w:lastRenderedPageBreak/>
              <w:t>Patologie</w:t>
            </w:r>
            <w:r w:rsidR="00A50720" w:rsidRPr="00D0367B">
              <w:rPr>
                <w:spacing w:val="-1"/>
                <w:szCs w:val="22"/>
              </w:rPr>
              <w:t xml:space="preserve"> </w:t>
            </w:r>
            <w:r w:rsidRPr="00D0367B">
              <w:rPr>
                <w:spacing w:val="-1"/>
                <w:szCs w:val="22"/>
              </w:rPr>
              <w:t>dell</w:t>
            </w:r>
            <w:r w:rsidR="00393B71" w:rsidRPr="00D0367B">
              <w:rPr>
                <w:spacing w:val="-1"/>
                <w:szCs w:val="22"/>
              </w:rPr>
              <w:t>’</w:t>
            </w:r>
            <w:r w:rsidRPr="00D0367B">
              <w:rPr>
                <w:spacing w:val="-1"/>
                <w:szCs w:val="22"/>
              </w:rPr>
              <w:t>occhio</w:t>
            </w:r>
          </w:p>
        </w:tc>
        <w:tc>
          <w:tcPr>
            <w:tcW w:w="992" w:type="dxa"/>
            <w:tcBorders>
              <w:top w:val="single" w:sz="5" w:space="0" w:color="000000"/>
              <w:left w:val="single" w:sz="6" w:space="0" w:color="000000"/>
              <w:bottom w:val="single" w:sz="5" w:space="0" w:color="000000"/>
              <w:right w:val="single" w:sz="6" w:space="0" w:color="000000"/>
            </w:tcBorders>
          </w:tcPr>
          <w:p w14:paraId="02B800A3" w14:textId="77777777" w:rsidR="006B3AD9" w:rsidRPr="00380B40"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67FD2688" w14:textId="77777777" w:rsidR="006B3AD9" w:rsidRPr="0045324C" w:rsidRDefault="006B3AD9" w:rsidP="002E28BF">
            <w:pPr>
              <w:ind w:left="21"/>
              <w:rPr>
                <w:szCs w:val="22"/>
              </w:rPr>
            </w:pPr>
          </w:p>
        </w:tc>
        <w:tc>
          <w:tcPr>
            <w:tcW w:w="2285" w:type="dxa"/>
            <w:tcBorders>
              <w:top w:val="single" w:sz="5" w:space="0" w:color="000000"/>
              <w:left w:val="single" w:sz="6" w:space="0" w:color="000000"/>
              <w:bottom w:val="single" w:sz="5" w:space="0" w:color="000000"/>
              <w:right w:val="single" w:sz="6" w:space="0" w:color="000000"/>
            </w:tcBorders>
          </w:tcPr>
          <w:p w14:paraId="75BC2DE2" w14:textId="77777777" w:rsidR="006B3AD9" w:rsidRPr="0045324C" w:rsidRDefault="00070BAA" w:rsidP="002E28BF">
            <w:pPr>
              <w:spacing w:before="2" w:line="220" w:lineRule="exact"/>
              <w:ind w:left="23" w:right="608"/>
              <w:rPr>
                <w:szCs w:val="22"/>
              </w:rPr>
            </w:pPr>
            <w:r w:rsidRPr="0045324C">
              <w:rPr>
                <w:szCs w:val="22"/>
              </w:rPr>
              <w:t>Visione offuscata</w:t>
            </w:r>
          </w:p>
        </w:tc>
        <w:tc>
          <w:tcPr>
            <w:tcW w:w="2261" w:type="dxa"/>
            <w:tcBorders>
              <w:top w:val="single" w:sz="5" w:space="0" w:color="000000"/>
              <w:left w:val="single" w:sz="6" w:space="0" w:color="000000"/>
              <w:bottom w:val="single" w:sz="5" w:space="0" w:color="000000"/>
              <w:right w:val="single" w:sz="6" w:space="0" w:color="000000"/>
            </w:tcBorders>
          </w:tcPr>
          <w:p w14:paraId="4F393F52" w14:textId="77777777" w:rsidR="006B3AD9" w:rsidRPr="0045324C" w:rsidRDefault="006B3AD9" w:rsidP="002E28BF">
            <w:pPr>
              <w:spacing w:before="2" w:line="220" w:lineRule="exact"/>
              <w:ind w:left="23" w:right="248"/>
              <w:rPr>
                <w:spacing w:val="-1"/>
                <w:szCs w:val="22"/>
              </w:rPr>
            </w:pPr>
          </w:p>
        </w:tc>
      </w:tr>
      <w:tr w:rsidR="006B3AD9" w:rsidRPr="0045324C" w14:paraId="670B0C74" w14:textId="77777777" w:rsidTr="00D0367B">
        <w:trPr>
          <w:trHeight w:hRule="exact" w:val="569"/>
          <w:jc w:val="center"/>
        </w:trPr>
        <w:tc>
          <w:tcPr>
            <w:tcW w:w="2119" w:type="dxa"/>
            <w:tcBorders>
              <w:top w:val="single" w:sz="5" w:space="0" w:color="000000"/>
              <w:left w:val="single" w:sz="6" w:space="0" w:color="000000"/>
              <w:bottom w:val="single" w:sz="5" w:space="0" w:color="000000"/>
              <w:right w:val="single" w:sz="6" w:space="0" w:color="000000"/>
            </w:tcBorders>
          </w:tcPr>
          <w:p w14:paraId="283B9129" w14:textId="77777777" w:rsidR="006B3AD9" w:rsidRPr="00D0367B" w:rsidRDefault="00070BAA" w:rsidP="002E28BF">
            <w:pPr>
              <w:spacing w:before="2" w:line="220" w:lineRule="exact"/>
              <w:ind w:left="21" w:right="188"/>
              <w:rPr>
                <w:spacing w:val="-1"/>
                <w:szCs w:val="22"/>
              </w:rPr>
            </w:pPr>
            <w:r w:rsidRPr="00D0367B">
              <w:rPr>
                <w:szCs w:val="22"/>
              </w:rPr>
              <w:t>Patologie cardiache</w:t>
            </w:r>
          </w:p>
        </w:tc>
        <w:tc>
          <w:tcPr>
            <w:tcW w:w="992" w:type="dxa"/>
            <w:tcBorders>
              <w:top w:val="single" w:sz="5" w:space="0" w:color="000000"/>
              <w:left w:val="single" w:sz="6" w:space="0" w:color="000000"/>
              <w:bottom w:val="single" w:sz="5" w:space="0" w:color="000000"/>
              <w:right w:val="single" w:sz="6" w:space="0" w:color="000000"/>
            </w:tcBorders>
          </w:tcPr>
          <w:p w14:paraId="103C999B" w14:textId="77777777" w:rsidR="006B3AD9" w:rsidRPr="00380B40"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7FDD7C43" w14:textId="77777777" w:rsidR="006B3AD9" w:rsidRPr="0045324C" w:rsidRDefault="006B3AD9" w:rsidP="002E28BF">
            <w:pPr>
              <w:ind w:left="21"/>
              <w:rPr>
                <w:szCs w:val="22"/>
              </w:rPr>
            </w:pPr>
          </w:p>
        </w:tc>
        <w:tc>
          <w:tcPr>
            <w:tcW w:w="2285" w:type="dxa"/>
            <w:tcBorders>
              <w:top w:val="single" w:sz="5" w:space="0" w:color="000000"/>
              <w:left w:val="single" w:sz="6" w:space="0" w:color="000000"/>
              <w:bottom w:val="single" w:sz="5" w:space="0" w:color="000000"/>
              <w:right w:val="single" w:sz="6" w:space="0" w:color="000000"/>
            </w:tcBorders>
          </w:tcPr>
          <w:p w14:paraId="6EF515F1" w14:textId="77777777" w:rsidR="00070BAA" w:rsidRPr="0045324C" w:rsidRDefault="00070BAA" w:rsidP="00070BAA">
            <w:pPr>
              <w:spacing w:line="220" w:lineRule="exact"/>
              <w:ind w:left="23"/>
              <w:rPr>
                <w:szCs w:val="22"/>
              </w:rPr>
            </w:pPr>
            <w:r w:rsidRPr="0045324C">
              <w:rPr>
                <w:szCs w:val="22"/>
              </w:rPr>
              <w:t>Tachicardia</w:t>
            </w:r>
          </w:p>
          <w:p w14:paraId="4B57A547" w14:textId="77777777" w:rsidR="006B3AD9" w:rsidRPr="0045324C" w:rsidRDefault="00070BAA" w:rsidP="00070BAA">
            <w:pPr>
              <w:spacing w:before="2" w:line="220" w:lineRule="exact"/>
              <w:ind w:left="23" w:right="608"/>
              <w:rPr>
                <w:szCs w:val="22"/>
              </w:rPr>
            </w:pPr>
            <w:r w:rsidRPr="0045324C">
              <w:rPr>
                <w:szCs w:val="22"/>
              </w:rPr>
              <w:t>Bradicardia</w:t>
            </w:r>
          </w:p>
        </w:tc>
        <w:tc>
          <w:tcPr>
            <w:tcW w:w="2261" w:type="dxa"/>
            <w:tcBorders>
              <w:top w:val="single" w:sz="5" w:space="0" w:color="000000"/>
              <w:left w:val="single" w:sz="6" w:space="0" w:color="000000"/>
              <w:bottom w:val="single" w:sz="5" w:space="0" w:color="000000"/>
              <w:right w:val="single" w:sz="6" w:space="0" w:color="000000"/>
            </w:tcBorders>
          </w:tcPr>
          <w:p w14:paraId="7C6C6FD4" w14:textId="77777777" w:rsidR="006B3AD9" w:rsidRPr="0045324C" w:rsidRDefault="006B3AD9" w:rsidP="002E28BF">
            <w:pPr>
              <w:spacing w:before="2" w:line="220" w:lineRule="exact"/>
              <w:ind w:left="23" w:right="248"/>
              <w:rPr>
                <w:spacing w:val="-1"/>
                <w:szCs w:val="22"/>
              </w:rPr>
            </w:pPr>
          </w:p>
        </w:tc>
      </w:tr>
      <w:tr w:rsidR="006B3AD9" w:rsidRPr="0045324C" w14:paraId="7809DD09" w14:textId="77777777" w:rsidTr="00D0367B">
        <w:trPr>
          <w:trHeight w:hRule="exact" w:val="565"/>
          <w:jc w:val="center"/>
        </w:trPr>
        <w:tc>
          <w:tcPr>
            <w:tcW w:w="2119" w:type="dxa"/>
            <w:tcBorders>
              <w:top w:val="single" w:sz="5" w:space="0" w:color="000000"/>
              <w:left w:val="single" w:sz="6" w:space="0" w:color="000000"/>
              <w:bottom w:val="single" w:sz="5" w:space="0" w:color="000000"/>
              <w:right w:val="single" w:sz="6" w:space="0" w:color="000000"/>
            </w:tcBorders>
          </w:tcPr>
          <w:p w14:paraId="2DE9A279" w14:textId="77777777" w:rsidR="006B3AD9" w:rsidRPr="00D0367B" w:rsidRDefault="00070BAA" w:rsidP="002E28BF">
            <w:pPr>
              <w:spacing w:before="2" w:line="220" w:lineRule="exact"/>
              <w:ind w:left="21" w:right="188"/>
              <w:rPr>
                <w:szCs w:val="22"/>
              </w:rPr>
            </w:pPr>
            <w:r w:rsidRPr="00D0367B">
              <w:rPr>
                <w:szCs w:val="22"/>
              </w:rPr>
              <w:t>Patologie vascolari</w:t>
            </w:r>
          </w:p>
        </w:tc>
        <w:tc>
          <w:tcPr>
            <w:tcW w:w="992" w:type="dxa"/>
            <w:tcBorders>
              <w:top w:val="single" w:sz="5" w:space="0" w:color="000000"/>
              <w:left w:val="single" w:sz="6" w:space="0" w:color="000000"/>
              <w:bottom w:val="single" w:sz="5" w:space="0" w:color="000000"/>
              <w:right w:val="single" w:sz="6" w:space="0" w:color="000000"/>
            </w:tcBorders>
          </w:tcPr>
          <w:p w14:paraId="770AB7BF" w14:textId="77777777" w:rsidR="006B3AD9" w:rsidRPr="00380B40"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713818A3" w14:textId="77777777" w:rsidR="006B3AD9" w:rsidRPr="0045324C" w:rsidRDefault="006B3AD9" w:rsidP="002E28BF">
            <w:pPr>
              <w:ind w:left="21"/>
              <w:rPr>
                <w:szCs w:val="22"/>
              </w:rPr>
            </w:pPr>
          </w:p>
        </w:tc>
        <w:tc>
          <w:tcPr>
            <w:tcW w:w="2285" w:type="dxa"/>
            <w:tcBorders>
              <w:top w:val="single" w:sz="5" w:space="0" w:color="000000"/>
              <w:left w:val="single" w:sz="6" w:space="0" w:color="000000"/>
              <w:bottom w:val="single" w:sz="5" w:space="0" w:color="000000"/>
              <w:right w:val="single" w:sz="6" w:space="0" w:color="000000"/>
            </w:tcBorders>
          </w:tcPr>
          <w:p w14:paraId="101627F8" w14:textId="77777777" w:rsidR="006B3AD9" w:rsidRPr="0045324C" w:rsidRDefault="00070BAA" w:rsidP="002E28BF">
            <w:pPr>
              <w:spacing w:line="220" w:lineRule="exact"/>
              <w:ind w:left="23"/>
              <w:rPr>
                <w:szCs w:val="22"/>
              </w:rPr>
            </w:pPr>
            <w:r w:rsidRPr="0045324C">
              <w:rPr>
                <w:szCs w:val="22"/>
              </w:rPr>
              <w:t>Ipotensione</w:t>
            </w:r>
          </w:p>
        </w:tc>
        <w:tc>
          <w:tcPr>
            <w:tcW w:w="2261" w:type="dxa"/>
            <w:tcBorders>
              <w:top w:val="single" w:sz="5" w:space="0" w:color="000000"/>
              <w:left w:val="single" w:sz="6" w:space="0" w:color="000000"/>
              <w:bottom w:val="single" w:sz="5" w:space="0" w:color="000000"/>
              <w:right w:val="single" w:sz="6" w:space="0" w:color="000000"/>
            </w:tcBorders>
          </w:tcPr>
          <w:p w14:paraId="3D080739" w14:textId="77777777" w:rsidR="006B3AD9" w:rsidRPr="0045324C" w:rsidRDefault="006B3AD9" w:rsidP="002E28BF">
            <w:pPr>
              <w:spacing w:before="2" w:line="220" w:lineRule="exact"/>
              <w:ind w:left="23" w:right="248"/>
              <w:rPr>
                <w:spacing w:val="-1"/>
                <w:szCs w:val="22"/>
              </w:rPr>
            </w:pPr>
          </w:p>
        </w:tc>
      </w:tr>
      <w:tr w:rsidR="006B3AD9" w:rsidRPr="0045324C" w14:paraId="588C2195" w14:textId="77777777" w:rsidTr="00D0367B">
        <w:trPr>
          <w:trHeight w:hRule="exact" w:val="995"/>
          <w:jc w:val="center"/>
        </w:trPr>
        <w:tc>
          <w:tcPr>
            <w:tcW w:w="2119" w:type="dxa"/>
            <w:tcBorders>
              <w:top w:val="single" w:sz="5" w:space="0" w:color="000000"/>
              <w:left w:val="single" w:sz="6" w:space="0" w:color="000000"/>
              <w:bottom w:val="single" w:sz="5" w:space="0" w:color="000000"/>
              <w:right w:val="single" w:sz="6" w:space="0" w:color="000000"/>
            </w:tcBorders>
          </w:tcPr>
          <w:p w14:paraId="2D719F7A" w14:textId="77777777" w:rsidR="006B3AD9" w:rsidRPr="00D0367B" w:rsidRDefault="00070BAA" w:rsidP="00A50720">
            <w:pPr>
              <w:spacing w:before="2" w:line="220" w:lineRule="exact"/>
              <w:ind w:left="21" w:right="188"/>
              <w:rPr>
                <w:szCs w:val="22"/>
              </w:rPr>
            </w:pPr>
            <w:r w:rsidRPr="00D0367B">
              <w:rPr>
                <w:szCs w:val="22"/>
              </w:rPr>
              <w:t>Patologie</w:t>
            </w:r>
            <w:r w:rsidR="00A50720" w:rsidRPr="00D0367B">
              <w:rPr>
                <w:szCs w:val="22"/>
              </w:rPr>
              <w:t xml:space="preserve"> </w:t>
            </w:r>
            <w:r w:rsidRPr="00D0367B">
              <w:rPr>
                <w:szCs w:val="22"/>
              </w:rPr>
              <w:t>respiratorie,</w:t>
            </w:r>
            <w:r w:rsidR="00A50720" w:rsidRPr="00D0367B">
              <w:rPr>
                <w:szCs w:val="22"/>
              </w:rPr>
              <w:t xml:space="preserve"> </w:t>
            </w:r>
            <w:r w:rsidRPr="00D0367B">
              <w:rPr>
                <w:szCs w:val="22"/>
              </w:rPr>
              <w:t>toraciche e</w:t>
            </w:r>
            <w:r w:rsidR="00A50720" w:rsidRPr="00D0367B">
              <w:rPr>
                <w:szCs w:val="22"/>
              </w:rPr>
              <w:t xml:space="preserve"> </w:t>
            </w:r>
            <w:r w:rsidRPr="00D0367B">
              <w:rPr>
                <w:szCs w:val="22"/>
              </w:rPr>
              <w:t>mediastiniche</w:t>
            </w:r>
          </w:p>
        </w:tc>
        <w:tc>
          <w:tcPr>
            <w:tcW w:w="992" w:type="dxa"/>
            <w:tcBorders>
              <w:top w:val="single" w:sz="5" w:space="0" w:color="000000"/>
              <w:left w:val="single" w:sz="6" w:space="0" w:color="000000"/>
              <w:bottom w:val="single" w:sz="5" w:space="0" w:color="000000"/>
              <w:right w:val="single" w:sz="6" w:space="0" w:color="000000"/>
            </w:tcBorders>
          </w:tcPr>
          <w:p w14:paraId="7AFFD2E0" w14:textId="77777777" w:rsidR="006B3AD9" w:rsidRPr="00380B40"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4349C71F" w14:textId="77777777" w:rsidR="006B3AD9" w:rsidRPr="0045324C" w:rsidRDefault="00070BAA" w:rsidP="002E28BF">
            <w:pPr>
              <w:ind w:left="21"/>
              <w:rPr>
                <w:szCs w:val="22"/>
              </w:rPr>
            </w:pPr>
            <w:r w:rsidRPr="0045324C">
              <w:rPr>
                <w:szCs w:val="22"/>
              </w:rPr>
              <w:t>Dispnea</w:t>
            </w:r>
          </w:p>
        </w:tc>
        <w:tc>
          <w:tcPr>
            <w:tcW w:w="2285" w:type="dxa"/>
            <w:tcBorders>
              <w:top w:val="single" w:sz="5" w:space="0" w:color="000000"/>
              <w:left w:val="single" w:sz="6" w:space="0" w:color="000000"/>
              <w:bottom w:val="single" w:sz="5" w:space="0" w:color="000000"/>
              <w:right w:val="single" w:sz="6" w:space="0" w:color="000000"/>
            </w:tcBorders>
          </w:tcPr>
          <w:p w14:paraId="0068D1E6" w14:textId="77777777" w:rsidR="00070BAA" w:rsidRPr="0045324C" w:rsidRDefault="00070BAA" w:rsidP="00070BAA">
            <w:pPr>
              <w:spacing w:line="220" w:lineRule="exact"/>
              <w:ind w:left="23"/>
              <w:rPr>
                <w:szCs w:val="22"/>
              </w:rPr>
            </w:pPr>
            <w:r w:rsidRPr="0045324C">
              <w:rPr>
                <w:szCs w:val="22"/>
              </w:rPr>
              <w:t>Dolore</w:t>
            </w:r>
            <w:r w:rsidR="00A50720" w:rsidRPr="0045324C">
              <w:rPr>
                <w:szCs w:val="22"/>
              </w:rPr>
              <w:t xml:space="preserve"> </w:t>
            </w:r>
            <w:r w:rsidRPr="0045324C">
              <w:rPr>
                <w:szCs w:val="22"/>
              </w:rPr>
              <w:t>orofaringeo</w:t>
            </w:r>
          </w:p>
          <w:p w14:paraId="50490BAB" w14:textId="77777777" w:rsidR="006B3AD9" w:rsidRPr="0045324C" w:rsidRDefault="00070BAA" w:rsidP="00070BAA">
            <w:pPr>
              <w:spacing w:line="220" w:lineRule="exact"/>
              <w:ind w:left="23"/>
              <w:rPr>
                <w:szCs w:val="22"/>
              </w:rPr>
            </w:pPr>
            <w:r w:rsidRPr="0045324C">
              <w:rPr>
                <w:szCs w:val="22"/>
              </w:rPr>
              <w:t>Costrizione alla gola</w:t>
            </w:r>
          </w:p>
        </w:tc>
        <w:tc>
          <w:tcPr>
            <w:tcW w:w="2261" w:type="dxa"/>
            <w:tcBorders>
              <w:top w:val="single" w:sz="5" w:space="0" w:color="000000"/>
              <w:left w:val="single" w:sz="6" w:space="0" w:color="000000"/>
              <w:bottom w:val="single" w:sz="5" w:space="0" w:color="000000"/>
              <w:right w:val="single" w:sz="6" w:space="0" w:color="000000"/>
            </w:tcBorders>
          </w:tcPr>
          <w:p w14:paraId="1D5171EC" w14:textId="77777777" w:rsidR="006B3AD9" w:rsidRPr="0045324C" w:rsidRDefault="00070BAA" w:rsidP="00A50720">
            <w:pPr>
              <w:spacing w:before="2" w:line="220" w:lineRule="exact"/>
              <w:ind w:left="23" w:right="248"/>
              <w:rPr>
                <w:spacing w:val="-1"/>
                <w:szCs w:val="22"/>
              </w:rPr>
            </w:pPr>
            <w:r w:rsidRPr="0045324C">
              <w:rPr>
                <w:spacing w:val="-1"/>
                <w:szCs w:val="22"/>
              </w:rPr>
              <w:t>Depressione</w:t>
            </w:r>
            <w:r w:rsidR="00A50720" w:rsidRPr="0045324C">
              <w:rPr>
                <w:spacing w:val="-1"/>
                <w:szCs w:val="22"/>
              </w:rPr>
              <w:t xml:space="preserve"> </w:t>
            </w:r>
            <w:r w:rsidRPr="0045324C">
              <w:rPr>
                <w:spacing w:val="-1"/>
                <w:szCs w:val="22"/>
              </w:rPr>
              <w:t>respiratoria</w:t>
            </w:r>
          </w:p>
        </w:tc>
      </w:tr>
      <w:tr w:rsidR="006B3AD9" w:rsidRPr="0045324C" w14:paraId="6E4B8E56" w14:textId="77777777" w:rsidTr="00D0367B">
        <w:trPr>
          <w:trHeight w:hRule="exact" w:val="2409"/>
          <w:jc w:val="center"/>
        </w:trPr>
        <w:tc>
          <w:tcPr>
            <w:tcW w:w="2119" w:type="dxa"/>
            <w:tcBorders>
              <w:top w:val="single" w:sz="5" w:space="0" w:color="000000"/>
              <w:left w:val="single" w:sz="6" w:space="0" w:color="000000"/>
              <w:bottom w:val="single" w:sz="5" w:space="0" w:color="000000"/>
              <w:right w:val="single" w:sz="6" w:space="0" w:color="000000"/>
            </w:tcBorders>
          </w:tcPr>
          <w:p w14:paraId="12F12979" w14:textId="77777777" w:rsidR="006B3AD9" w:rsidRPr="00D0367B" w:rsidRDefault="00070BAA" w:rsidP="00A50720">
            <w:pPr>
              <w:spacing w:before="2" w:line="220" w:lineRule="exact"/>
              <w:ind w:left="21" w:right="188"/>
              <w:rPr>
                <w:szCs w:val="22"/>
              </w:rPr>
            </w:pPr>
            <w:r w:rsidRPr="00D0367B">
              <w:rPr>
                <w:spacing w:val="1"/>
                <w:szCs w:val="22"/>
              </w:rPr>
              <w:t>Patologie</w:t>
            </w:r>
            <w:r w:rsidR="00A50720" w:rsidRPr="00D0367B">
              <w:rPr>
                <w:spacing w:val="1"/>
                <w:szCs w:val="22"/>
              </w:rPr>
              <w:t xml:space="preserve"> </w:t>
            </w:r>
            <w:r w:rsidRPr="00D0367B">
              <w:rPr>
                <w:spacing w:val="1"/>
                <w:szCs w:val="22"/>
              </w:rPr>
              <w:t>gastrointestinali</w:t>
            </w:r>
          </w:p>
        </w:tc>
        <w:tc>
          <w:tcPr>
            <w:tcW w:w="992" w:type="dxa"/>
            <w:tcBorders>
              <w:top w:val="single" w:sz="5" w:space="0" w:color="000000"/>
              <w:left w:val="single" w:sz="6" w:space="0" w:color="000000"/>
              <w:bottom w:val="single" w:sz="5" w:space="0" w:color="000000"/>
              <w:right w:val="single" w:sz="6" w:space="0" w:color="000000"/>
            </w:tcBorders>
          </w:tcPr>
          <w:p w14:paraId="48D0C05A" w14:textId="77777777" w:rsidR="006B3AD9" w:rsidRPr="0019565E" w:rsidRDefault="006B3AD9" w:rsidP="002E28BF">
            <w:pPr>
              <w:rPr>
                <w:szCs w:val="22"/>
              </w:rPr>
            </w:pPr>
            <w:r w:rsidRPr="00380B40">
              <w:rPr>
                <w:szCs w:val="22"/>
              </w:rPr>
              <w:t>Na</w:t>
            </w:r>
            <w:r w:rsidRPr="00380B40">
              <w:rPr>
                <w:spacing w:val="2"/>
                <w:szCs w:val="22"/>
              </w:rPr>
              <w:t>u</w:t>
            </w:r>
            <w:r w:rsidRPr="0019565E">
              <w:rPr>
                <w:spacing w:val="-1"/>
                <w:szCs w:val="22"/>
              </w:rPr>
              <w:t>s</w:t>
            </w:r>
            <w:r w:rsidRPr="0019565E">
              <w:rPr>
                <w:szCs w:val="22"/>
              </w:rPr>
              <w:t>ea</w:t>
            </w:r>
          </w:p>
        </w:tc>
        <w:tc>
          <w:tcPr>
            <w:tcW w:w="1549" w:type="dxa"/>
            <w:tcBorders>
              <w:top w:val="single" w:sz="5" w:space="0" w:color="000000"/>
              <w:left w:val="single" w:sz="6" w:space="0" w:color="000000"/>
              <w:bottom w:val="single" w:sz="5" w:space="0" w:color="000000"/>
              <w:right w:val="single" w:sz="6" w:space="0" w:color="000000"/>
            </w:tcBorders>
          </w:tcPr>
          <w:p w14:paraId="0B701BC8" w14:textId="77777777" w:rsidR="00070BAA" w:rsidRPr="0045324C" w:rsidRDefault="00070BAA" w:rsidP="00070BAA">
            <w:pPr>
              <w:spacing w:line="220" w:lineRule="exact"/>
              <w:ind w:left="21"/>
              <w:rPr>
                <w:szCs w:val="22"/>
              </w:rPr>
            </w:pPr>
            <w:r w:rsidRPr="0045324C">
              <w:rPr>
                <w:szCs w:val="22"/>
              </w:rPr>
              <w:t>Stomatite</w:t>
            </w:r>
          </w:p>
          <w:p w14:paraId="66E68E63" w14:textId="77777777" w:rsidR="00070BAA" w:rsidRPr="0045324C" w:rsidRDefault="00070BAA" w:rsidP="00070BAA">
            <w:pPr>
              <w:spacing w:line="220" w:lineRule="exact"/>
              <w:ind w:left="21"/>
              <w:rPr>
                <w:szCs w:val="22"/>
              </w:rPr>
            </w:pPr>
            <w:r w:rsidRPr="0045324C">
              <w:rPr>
                <w:szCs w:val="22"/>
              </w:rPr>
              <w:t>Vomito</w:t>
            </w:r>
          </w:p>
          <w:p w14:paraId="35F157CA" w14:textId="77777777" w:rsidR="00070BAA" w:rsidRPr="0045324C" w:rsidRDefault="00070BAA" w:rsidP="00070BAA">
            <w:pPr>
              <w:spacing w:line="220" w:lineRule="exact"/>
              <w:ind w:left="21"/>
              <w:rPr>
                <w:szCs w:val="22"/>
              </w:rPr>
            </w:pPr>
            <w:r w:rsidRPr="0045324C">
              <w:rPr>
                <w:szCs w:val="22"/>
              </w:rPr>
              <w:t>Costipazione</w:t>
            </w:r>
          </w:p>
          <w:p w14:paraId="06C1A279" w14:textId="77777777" w:rsidR="006B3AD9" w:rsidRPr="0045324C" w:rsidRDefault="00070BAA" w:rsidP="00A50720">
            <w:pPr>
              <w:spacing w:line="220" w:lineRule="exact"/>
              <w:ind w:left="21"/>
              <w:rPr>
                <w:szCs w:val="22"/>
              </w:rPr>
            </w:pPr>
            <w:r w:rsidRPr="0045324C">
              <w:rPr>
                <w:szCs w:val="22"/>
              </w:rPr>
              <w:t>Secchezza delle</w:t>
            </w:r>
            <w:r w:rsidR="00A50720" w:rsidRPr="0045324C">
              <w:rPr>
                <w:szCs w:val="22"/>
              </w:rPr>
              <w:t xml:space="preserve"> </w:t>
            </w:r>
            <w:r w:rsidRPr="0045324C">
              <w:rPr>
                <w:szCs w:val="22"/>
              </w:rPr>
              <w:t>fauci</w:t>
            </w:r>
          </w:p>
        </w:tc>
        <w:tc>
          <w:tcPr>
            <w:tcW w:w="2285" w:type="dxa"/>
            <w:tcBorders>
              <w:top w:val="single" w:sz="5" w:space="0" w:color="000000"/>
              <w:left w:val="single" w:sz="6" w:space="0" w:color="000000"/>
              <w:bottom w:val="single" w:sz="5" w:space="0" w:color="000000"/>
              <w:right w:val="single" w:sz="6" w:space="0" w:color="000000"/>
            </w:tcBorders>
          </w:tcPr>
          <w:p w14:paraId="4D82B760" w14:textId="77777777" w:rsidR="00070BAA" w:rsidRPr="0045324C" w:rsidRDefault="00070BAA" w:rsidP="00070BAA">
            <w:pPr>
              <w:spacing w:line="220" w:lineRule="exact"/>
              <w:ind w:left="23"/>
              <w:rPr>
                <w:szCs w:val="22"/>
              </w:rPr>
            </w:pPr>
            <w:r w:rsidRPr="0045324C">
              <w:rPr>
                <w:szCs w:val="22"/>
              </w:rPr>
              <w:t>Ulcere orali</w:t>
            </w:r>
          </w:p>
          <w:p w14:paraId="2AC1B94A" w14:textId="77777777" w:rsidR="00070BAA" w:rsidRPr="0045324C" w:rsidRDefault="00070BAA" w:rsidP="00070BAA">
            <w:pPr>
              <w:spacing w:line="220" w:lineRule="exact"/>
              <w:ind w:left="23"/>
              <w:rPr>
                <w:szCs w:val="22"/>
              </w:rPr>
            </w:pPr>
            <w:r w:rsidRPr="0045324C">
              <w:rPr>
                <w:szCs w:val="22"/>
              </w:rPr>
              <w:t>Ulcere gengivali</w:t>
            </w:r>
          </w:p>
          <w:p w14:paraId="64EE166F" w14:textId="77777777" w:rsidR="00070BAA" w:rsidRPr="0045324C" w:rsidRDefault="00070BAA" w:rsidP="00070BAA">
            <w:pPr>
              <w:spacing w:line="220" w:lineRule="exact"/>
              <w:ind w:left="23"/>
              <w:rPr>
                <w:szCs w:val="22"/>
              </w:rPr>
            </w:pPr>
            <w:r w:rsidRPr="0045324C">
              <w:rPr>
                <w:szCs w:val="22"/>
              </w:rPr>
              <w:t>Ulcere labiali</w:t>
            </w:r>
          </w:p>
          <w:p w14:paraId="1CDF9644" w14:textId="77777777" w:rsidR="00070BAA" w:rsidRPr="0045324C" w:rsidRDefault="00070BAA" w:rsidP="00070BAA">
            <w:pPr>
              <w:spacing w:line="220" w:lineRule="exact"/>
              <w:ind w:left="23"/>
              <w:rPr>
                <w:szCs w:val="22"/>
              </w:rPr>
            </w:pPr>
            <w:r w:rsidRPr="0045324C">
              <w:rPr>
                <w:szCs w:val="22"/>
              </w:rPr>
              <w:t>Compromissione dello svuotamento gastrico</w:t>
            </w:r>
          </w:p>
          <w:p w14:paraId="48945E6F" w14:textId="77777777" w:rsidR="00070BAA" w:rsidRPr="0045324C" w:rsidRDefault="00070BAA" w:rsidP="00070BAA">
            <w:pPr>
              <w:spacing w:line="220" w:lineRule="exact"/>
              <w:ind w:left="23"/>
              <w:rPr>
                <w:szCs w:val="22"/>
              </w:rPr>
            </w:pPr>
            <w:r w:rsidRPr="0045324C">
              <w:rPr>
                <w:szCs w:val="22"/>
              </w:rPr>
              <w:t>Dolore addominale</w:t>
            </w:r>
          </w:p>
          <w:p w14:paraId="7EF796D8" w14:textId="77777777" w:rsidR="00070BAA" w:rsidRPr="0045324C" w:rsidRDefault="00070BAA" w:rsidP="00070BAA">
            <w:pPr>
              <w:spacing w:line="220" w:lineRule="exact"/>
              <w:ind w:left="23"/>
              <w:rPr>
                <w:szCs w:val="22"/>
              </w:rPr>
            </w:pPr>
            <w:r w:rsidRPr="0045324C">
              <w:rPr>
                <w:szCs w:val="22"/>
              </w:rPr>
              <w:t>Dispepsia</w:t>
            </w:r>
          </w:p>
          <w:p w14:paraId="7B62EA74" w14:textId="77777777" w:rsidR="00070BAA" w:rsidRPr="0045324C" w:rsidRDefault="00070BAA" w:rsidP="00070BAA">
            <w:pPr>
              <w:spacing w:line="220" w:lineRule="exact"/>
              <w:ind w:left="23"/>
              <w:rPr>
                <w:szCs w:val="22"/>
              </w:rPr>
            </w:pPr>
            <w:r w:rsidRPr="0045324C">
              <w:rPr>
                <w:szCs w:val="22"/>
              </w:rPr>
              <w:t>Fastidio allo stomaco</w:t>
            </w:r>
          </w:p>
          <w:p w14:paraId="1CC96C70" w14:textId="77777777" w:rsidR="00070BAA" w:rsidRPr="0045324C" w:rsidRDefault="00070BAA" w:rsidP="00070BAA">
            <w:pPr>
              <w:spacing w:line="220" w:lineRule="exact"/>
              <w:ind w:left="23"/>
              <w:rPr>
                <w:szCs w:val="22"/>
              </w:rPr>
            </w:pPr>
            <w:r w:rsidRPr="0045324C">
              <w:rPr>
                <w:szCs w:val="22"/>
              </w:rPr>
              <w:t>Disturbo della lingua</w:t>
            </w:r>
          </w:p>
          <w:p w14:paraId="7651C7BF" w14:textId="77777777" w:rsidR="006B3AD9" w:rsidRPr="0045324C" w:rsidRDefault="00070BAA" w:rsidP="00070BAA">
            <w:pPr>
              <w:spacing w:line="220" w:lineRule="exact"/>
              <w:ind w:left="23"/>
              <w:rPr>
                <w:szCs w:val="22"/>
              </w:rPr>
            </w:pPr>
            <w:r w:rsidRPr="0045324C">
              <w:rPr>
                <w:szCs w:val="22"/>
              </w:rPr>
              <w:t xml:space="preserve">Stomatite aftosa </w:t>
            </w:r>
          </w:p>
        </w:tc>
        <w:tc>
          <w:tcPr>
            <w:tcW w:w="2261" w:type="dxa"/>
            <w:tcBorders>
              <w:top w:val="single" w:sz="5" w:space="0" w:color="000000"/>
              <w:left w:val="single" w:sz="6" w:space="0" w:color="000000"/>
              <w:bottom w:val="single" w:sz="5" w:space="0" w:color="000000"/>
              <w:right w:val="single" w:sz="6" w:space="0" w:color="000000"/>
            </w:tcBorders>
          </w:tcPr>
          <w:p w14:paraId="3A68DA08" w14:textId="77777777" w:rsidR="00070BAA" w:rsidRPr="0045324C" w:rsidRDefault="00070BAA" w:rsidP="00070BAA">
            <w:pPr>
              <w:spacing w:line="220" w:lineRule="exact"/>
              <w:ind w:left="23"/>
              <w:rPr>
                <w:szCs w:val="22"/>
              </w:rPr>
            </w:pPr>
            <w:r w:rsidRPr="0045324C">
              <w:rPr>
                <w:szCs w:val="22"/>
              </w:rPr>
              <w:t>Gonfiore della lingua</w:t>
            </w:r>
          </w:p>
          <w:p w14:paraId="63813142" w14:textId="77777777" w:rsidR="006B3AD9" w:rsidRPr="0045324C" w:rsidRDefault="00070BAA" w:rsidP="00070BAA">
            <w:pPr>
              <w:spacing w:before="2" w:line="220" w:lineRule="exact"/>
              <w:ind w:left="23" w:right="248"/>
              <w:rPr>
                <w:spacing w:val="-1"/>
                <w:szCs w:val="22"/>
              </w:rPr>
            </w:pPr>
            <w:r w:rsidRPr="0045324C">
              <w:rPr>
                <w:szCs w:val="22"/>
              </w:rPr>
              <w:t>Diarrea</w:t>
            </w:r>
          </w:p>
        </w:tc>
      </w:tr>
      <w:tr w:rsidR="006B3AD9" w:rsidRPr="0045324C" w14:paraId="4819A80F" w14:textId="77777777" w:rsidTr="00D0367B">
        <w:trPr>
          <w:trHeight w:hRule="exact" w:val="1713"/>
          <w:jc w:val="center"/>
        </w:trPr>
        <w:tc>
          <w:tcPr>
            <w:tcW w:w="2119" w:type="dxa"/>
            <w:tcBorders>
              <w:top w:val="single" w:sz="5" w:space="0" w:color="000000"/>
              <w:left w:val="single" w:sz="6" w:space="0" w:color="000000"/>
              <w:bottom w:val="single" w:sz="5" w:space="0" w:color="000000"/>
              <w:right w:val="single" w:sz="6" w:space="0" w:color="000000"/>
            </w:tcBorders>
          </w:tcPr>
          <w:p w14:paraId="1A7D48E9" w14:textId="58C25CBF" w:rsidR="006B3AD9" w:rsidRPr="002B70E2" w:rsidRDefault="00070BAA" w:rsidP="00380B40">
            <w:pPr>
              <w:spacing w:before="2" w:line="220" w:lineRule="exact"/>
              <w:ind w:left="21" w:right="188"/>
              <w:rPr>
                <w:spacing w:val="1"/>
                <w:szCs w:val="22"/>
              </w:rPr>
            </w:pPr>
            <w:r w:rsidRPr="00D0367B">
              <w:rPr>
                <w:szCs w:val="22"/>
              </w:rPr>
              <w:t>Patologie della cute e del tessuto</w:t>
            </w:r>
            <w:r w:rsidR="0045324C" w:rsidRPr="00D0367B">
              <w:rPr>
                <w:szCs w:val="22"/>
              </w:rPr>
              <w:t xml:space="preserve"> </w:t>
            </w:r>
            <w:r w:rsidRPr="002B70E2">
              <w:rPr>
                <w:szCs w:val="22"/>
              </w:rPr>
              <w:t>sottocutaneo</w:t>
            </w:r>
          </w:p>
        </w:tc>
        <w:tc>
          <w:tcPr>
            <w:tcW w:w="992" w:type="dxa"/>
            <w:tcBorders>
              <w:top w:val="single" w:sz="5" w:space="0" w:color="000000"/>
              <w:left w:val="single" w:sz="6" w:space="0" w:color="000000"/>
              <w:bottom w:val="single" w:sz="5" w:space="0" w:color="000000"/>
              <w:right w:val="single" w:sz="6" w:space="0" w:color="000000"/>
            </w:tcBorders>
          </w:tcPr>
          <w:p w14:paraId="5362D315" w14:textId="77777777" w:rsidR="006B3AD9" w:rsidRPr="002B70E2"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1148AE90" w14:textId="77777777" w:rsidR="006B3AD9" w:rsidRPr="0045324C" w:rsidRDefault="00070BAA" w:rsidP="002E28BF">
            <w:pPr>
              <w:spacing w:line="220" w:lineRule="exact"/>
              <w:ind w:left="21"/>
              <w:rPr>
                <w:szCs w:val="22"/>
              </w:rPr>
            </w:pPr>
            <w:r w:rsidRPr="0045324C">
              <w:rPr>
                <w:szCs w:val="22"/>
              </w:rPr>
              <w:t>Iperidrosi</w:t>
            </w:r>
          </w:p>
        </w:tc>
        <w:tc>
          <w:tcPr>
            <w:tcW w:w="2285" w:type="dxa"/>
            <w:tcBorders>
              <w:top w:val="single" w:sz="5" w:space="0" w:color="000000"/>
              <w:left w:val="single" w:sz="6" w:space="0" w:color="000000"/>
              <w:bottom w:val="single" w:sz="5" w:space="0" w:color="000000"/>
              <w:right w:val="single" w:sz="6" w:space="0" w:color="000000"/>
            </w:tcBorders>
          </w:tcPr>
          <w:p w14:paraId="2C5D8D4D" w14:textId="77777777" w:rsidR="00070BAA" w:rsidRPr="0045324C" w:rsidRDefault="00070BAA" w:rsidP="00070BAA">
            <w:pPr>
              <w:spacing w:line="220" w:lineRule="exact"/>
              <w:ind w:left="23"/>
              <w:rPr>
                <w:szCs w:val="22"/>
              </w:rPr>
            </w:pPr>
            <w:r w:rsidRPr="0045324C">
              <w:rPr>
                <w:szCs w:val="22"/>
              </w:rPr>
              <w:t>Lesioni cutanee</w:t>
            </w:r>
          </w:p>
          <w:p w14:paraId="1C028549" w14:textId="77777777" w:rsidR="00070BAA" w:rsidRPr="0045324C" w:rsidRDefault="00070BAA" w:rsidP="00070BAA">
            <w:pPr>
              <w:spacing w:line="220" w:lineRule="exact"/>
              <w:ind w:left="23"/>
              <w:rPr>
                <w:szCs w:val="22"/>
              </w:rPr>
            </w:pPr>
            <w:r w:rsidRPr="0045324C">
              <w:rPr>
                <w:szCs w:val="22"/>
              </w:rPr>
              <w:t>Eruzioni cutanee</w:t>
            </w:r>
          </w:p>
          <w:p w14:paraId="27C011D8" w14:textId="77777777" w:rsidR="00070BAA" w:rsidRPr="0045324C" w:rsidRDefault="00070BAA" w:rsidP="00070BAA">
            <w:pPr>
              <w:spacing w:line="220" w:lineRule="exact"/>
              <w:ind w:left="23"/>
              <w:rPr>
                <w:szCs w:val="22"/>
              </w:rPr>
            </w:pPr>
            <w:r w:rsidRPr="0045324C">
              <w:rPr>
                <w:szCs w:val="22"/>
              </w:rPr>
              <w:t>Prurito allergico</w:t>
            </w:r>
          </w:p>
          <w:p w14:paraId="0E795A85" w14:textId="77777777" w:rsidR="00070BAA" w:rsidRPr="0045324C" w:rsidRDefault="00070BAA" w:rsidP="00070BAA">
            <w:pPr>
              <w:spacing w:line="220" w:lineRule="exact"/>
              <w:ind w:left="23"/>
              <w:rPr>
                <w:szCs w:val="22"/>
              </w:rPr>
            </w:pPr>
            <w:r w:rsidRPr="0045324C">
              <w:rPr>
                <w:szCs w:val="22"/>
              </w:rPr>
              <w:t>Prurito</w:t>
            </w:r>
          </w:p>
          <w:p w14:paraId="60926BFE" w14:textId="77777777" w:rsidR="00070BAA" w:rsidRPr="0045324C" w:rsidRDefault="00070BAA" w:rsidP="00070BAA">
            <w:pPr>
              <w:spacing w:line="220" w:lineRule="exact"/>
              <w:ind w:left="23"/>
              <w:rPr>
                <w:szCs w:val="22"/>
              </w:rPr>
            </w:pPr>
            <w:r w:rsidRPr="0045324C">
              <w:rPr>
                <w:szCs w:val="22"/>
              </w:rPr>
              <w:t>Sudorazione notturna</w:t>
            </w:r>
          </w:p>
          <w:p w14:paraId="6C45DAA5" w14:textId="77777777" w:rsidR="006B3AD9" w:rsidRPr="0045324C" w:rsidRDefault="00070BAA" w:rsidP="00070BAA">
            <w:pPr>
              <w:spacing w:line="220" w:lineRule="exact"/>
              <w:ind w:left="23"/>
              <w:rPr>
                <w:szCs w:val="22"/>
              </w:rPr>
            </w:pPr>
            <w:r w:rsidRPr="0045324C">
              <w:rPr>
                <w:szCs w:val="22"/>
              </w:rPr>
              <w:t>Aumento della tendenza a sviluppare ecchimosi</w:t>
            </w:r>
          </w:p>
        </w:tc>
        <w:tc>
          <w:tcPr>
            <w:tcW w:w="2261" w:type="dxa"/>
            <w:tcBorders>
              <w:top w:val="single" w:sz="5" w:space="0" w:color="000000"/>
              <w:left w:val="single" w:sz="6" w:space="0" w:color="000000"/>
              <w:bottom w:val="single" w:sz="5" w:space="0" w:color="000000"/>
              <w:right w:val="single" w:sz="6" w:space="0" w:color="000000"/>
            </w:tcBorders>
          </w:tcPr>
          <w:p w14:paraId="4EE1D0F2" w14:textId="77777777" w:rsidR="006B3AD9" w:rsidRPr="0045324C" w:rsidRDefault="00070BAA" w:rsidP="002E28BF">
            <w:pPr>
              <w:spacing w:line="220" w:lineRule="exact"/>
              <w:ind w:left="23"/>
              <w:rPr>
                <w:szCs w:val="22"/>
              </w:rPr>
            </w:pPr>
            <w:r w:rsidRPr="0045324C">
              <w:rPr>
                <w:szCs w:val="22"/>
              </w:rPr>
              <w:t>Orticaria</w:t>
            </w:r>
          </w:p>
        </w:tc>
      </w:tr>
      <w:tr w:rsidR="006B3AD9" w:rsidRPr="0045324C" w14:paraId="5CAACEDF" w14:textId="77777777" w:rsidTr="00D0367B">
        <w:trPr>
          <w:trHeight w:hRule="exact" w:val="1424"/>
          <w:jc w:val="center"/>
        </w:trPr>
        <w:tc>
          <w:tcPr>
            <w:tcW w:w="2119" w:type="dxa"/>
            <w:tcBorders>
              <w:top w:val="single" w:sz="5" w:space="0" w:color="000000"/>
              <w:left w:val="single" w:sz="6" w:space="0" w:color="000000"/>
              <w:bottom w:val="single" w:sz="5" w:space="0" w:color="000000"/>
              <w:right w:val="single" w:sz="6" w:space="0" w:color="000000"/>
            </w:tcBorders>
          </w:tcPr>
          <w:p w14:paraId="0B13E039" w14:textId="4E6F511B" w:rsidR="006B3AD9" w:rsidRPr="00D0367B" w:rsidRDefault="00070BAA" w:rsidP="00380B40">
            <w:pPr>
              <w:spacing w:before="2" w:line="220" w:lineRule="exact"/>
              <w:ind w:left="21" w:right="188"/>
              <w:rPr>
                <w:szCs w:val="22"/>
              </w:rPr>
            </w:pPr>
            <w:r w:rsidRPr="00D0367B">
              <w:rPr>
                <w:spacing w:val="-1"/>
                <w:szCs w:val="22"/>
              </w:rPr>
              <w:t>Patologie del sistema</w:t>
            </w:r>
            <w:r w:rsidR="0045324C">
              <w:rPr>
                <w:spacing w:val="-1"/>
                <w:szCs w:val="22"/>
              </w:rPr>
              <w:t xml:space="preserve"> m</w:t>
            </w:r>
            <w:r w:rsidRPr="00D0367B">
              <w:rPr>
                <w:spacing w:val="-1"/>
                <w:szCs w:val="22"/>
              </w:rPr>
              <w:t>uscoloscheletrico</w:t>
            </w:r>
            <w:r w:rsidR="0045324C">
              <w:rPr>
                <w:spacing w:val="-1"/>
                <w:szCs w:val="22"/>
              </w:rPr>
              <w:t xml:space="preserve"> </w:t>
            </w:r>
            <w:r w:rsidRPr="00D0367B">
              <w:rPr>
                <w:spacing w:val="-1"/>
                <w:szCs w:val="22"/>
              </w:rPr>
              <w:t>e del tessuto</w:t>
            </w:r>
            <w:r w:rsidR="0045324C">
              <w:rPr>
                <w:spacing w:val="-1"/>
                <w:szCs w:val="22"/>
              </w:rPr>
              <w:t xml:space="preserve"> </w:t>
            </w:r>
            <w:r w:rsidRPr="00D0367B">
              <w:rPr>
                <w:spacing w:val="-1"/>
                <w:szCs w:val="22"/>
              </w:rPr>
              <w:t>connettivo</w:t>
            </w:r>
          </w:p>
        </w:tc>
        <w:tc>
          <w:tcPr>
            <w:tcW w:w="992" w:type="dxa"/>
            <w:tcBorders>
              <w:top w:val="single" w:sz="5" w:space="0" w:color="000000"/>
              <w:left w:val="single" w:sz="6" w:space="0" w:color="000000"/>
              <w:bottom w:val="single" w:sz="5" w:space="0" w:color="000000"/>
              <w:right w:val="single" w:sz="6" w:space="0" w:color="000000"/>
            </w:tcBorders>
          </w:tcPr>
          <w:p w14:paraId="148DAFCB" w14:textId="77777777" w:rsidR="006B3AD9" w:rsidRPr="00380B40"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1A9DC45B" w14:textId="77777777" w:rsidR="006B3AD9" w:rsidRPr="0045324C" w:rsidRDefault="006B3AD9" w:rsidP="002E28BF">
            <w:pPr>
              <w:spacing w:line="220" w:lineRule="exact"/>
              <w:ind w:left="21"/>
              <w:rPr>
                <w:szCs w:val="22"/>
              </w:rPr>
            </w:pPr>
          </w:p>
        </w:tc>
        <w:tc>
          <w:tcPr>
            <w:tcW w:w="2285" w:type="dxa"/>
            <w:tcBorders>
              <w:top w:val="single" w:sz="5" w:space="0" w:color="000000"/>
              <w:left w:val="single" w:sz="6" w:space="0" w:color="000000"/>
              <w:bottom w:val="single" w:sz="5" w:space="0" w:color="000000"/>
              <w:right w:val="single" w:sz="6" w:space="0" w:color="000000"/>
            </w:tcBorders>
          </w:tcPr>
          <w:p w14:paraId="3182A715" w14:textId="77777777" w:rsidR="00070BAA" w:rsidRPr="0045324C" w:rsidRDefault="00070BAA" w:rsidP="00070BAA">
            <w:pPr>
              <w:spacing w:line="220" w:lineRule="exact"/>
              <w:ind w:left="23"/>
              <w:rPr>
                <w:szCs w:val="22"/>
              </w:rPr>
            </w:pPr>
            <w:r w:rsidRPr="0045324C">
              <w:rPr>
                <w:szCs w:val="22"/>
              </w:rPr>
              <w:t>Artralgia</w:t>
            </w:r>
          </w:p>
          <w:p w14:paraId="7C50AA2A" w14:textId="77777777" w:rsidR="00070BAA" w:rsidRPr="0045324C" w:rsidRDefault="00070BAA" w:rsidP="00070BAA">
            <w:pPr>
              <w:spacing w:line="220" w:lineRule="exact"/>
              <w:ind w:left="23"/>
              <w:rPr>
                <w:szCs w:val="22"/>
              </w:rPr>
            </w:pPr>
            <w:r w:rsidRPr="0045324C">
              <w:rPr>
                <w:szCs w:val="22"/>
              </w:rPr>
              <w:t>Rigidità muscoloscheletrica</w:t>
            </w:r>
          </w:p>
          <w:p w14:paraId="3D9D0FC9" w14:textId="77777777" w:rsidR="006B3AD9" w:rsidRPr="0045324C" w:rsidRDefault="00070BAA" w:rsidP="00070BAA">
            <w:pPr>
              <w:spacing w:line="220" w:lineRule="exact"/>
              <w:ind w:left="23"/>
              <w:rPr>
                <w:szCs w:val="22"/>
              </w:rPr>
            </w:pPr>
            <w:r w:rsidRPr="0045324C">
              <w:rPr>
                <w:szCs w:val="22"/>
              </w:rPr>
              <w:t>Rigidità articolare</w:t>
            </w:r>
          </w:p>
        </w:tc>
        <w:tc>
          <w:tcPr>
            <w:tcW w:w="2261" w:type="dxa"/>
            <w:tcBorders>
              <w:top w:val="single" w:sz="5" w:space="0" w:color="000000"/>
              <w:left w:val="single" w:sz="6" w:space="0" w:color="000000"/>
              <w:bottom w:val="single" w:sz="5" w:space="0" w:color="000000"/>
              <w:right w:val="single" w:sz="6" w:space="0" w:color="000000"/>
            </w:tcBorders>
          </w:tcPr>
          <w:p w14:paraId="4D7355AE" w14:textId="77777777" w:rsidR="006B3AD9" w:rsidRPr="0045324C" w:rsidRDefault="006B3AD9" w:rsidP="002E28BF">
            <w:pPr>
              <w:spacing w:line="220" w:lineRule="exact"/>
              <w:ind w:left="23"/>
              <w:rPr>
                <w:szCs w:val="22"/>
              </w:rPr>
            </w:pPr>
          </w:p>
        </w:tc>
      </w:tr>
      <w:tr w:rsidR="006B3AD9" w:rsidRPr="0045324C" w14:paraId="1B7509BF" w14:textId="77777777" w:rsidTr="00D0367B">
        <w:trPr>
          <w:trHeight w:hRule="exact" w:val="1274"/>
          <w:jc w:val="center"/>
        </w:trPr>
        <w:tc>
          <w:tcPr>
            <w:tcW w:w="2119" w:type="dxa"/>
            <w:tcBorders>
              <w:top w:val="single" w:sz="5" w:space="0" w:color="000000"/>
              <w:left w:val="single" w:sz="6" w:space="0" w:color="000000"/>
              <w:bottom w:val="single" w:sz="5" w:space="0" w:color="000000"/>
              <w:right w:val="single" w:sz="6" w:space="0" w:color="000000"/>
            </w:tcBorders>
          </w:tcPr>
          <w:p w14:paraId="2B7BDC16" w14:textId="26DEEBF1" w:rsidR="006B3AD9" w:rsidRPr="00D0367B" w:rsidRDefault="00070BAA">
            <w:pPr>
              <w:spacing w:before="2" w:line="220" w:lineRule="exact"/>
              <w:ind w:left="21" w:right="188"/>
              <w:rPr>
                <w:spacing w:val="-1"/>
                <w:szCs w:val="22"/>
              </w:rPr>
            </w:pPr>
            <w:r w:rsidRPr="00D0367B">
              <w:rPr>
                <w:szCs w:val="22"/>
              </w:rPr>
              <w:t>Patologie dell</w:t>
            </w:r>
            <w:r w:rsidR="00393B71" w:rsidRPr="00D0367B">
              <w:rPr>
                <w:szCs w:val="22"/>
              </w:rPr>
              <w:t>’</w:t>
            </w:r>
            <w:r w:rsidRPr="00D0367B">
              <w:rPr>
                <w:szCs w:val="22"/>
              </w:rPr>
              <w:t>apparato</w:t>
            </w:r>
            <w:r w:rsidR="0045324C">
              <w:rPr>
                <w:szCs w:val="22"/>
              </w:rPr>
              <w:t xml:space="preserve"> </w:t>
            </w:r>
            <w:r w:rsidRPr="00D0367B">
              <w:rPr>
                <w:szCs w:val="22"/>
              </w:rPr>
              <w:t>riproduttivo e della</w:t>
            </w:r>
            <w:r w:rsidR="0045324C">
              <w:rPr>
                <w:szCs w:val="22"/>
              </w:rPr>
              <w:t xml:space="preserve"> </w:t>
            </w:r>
            <w:r w:rsidRPr="00D0367B">
              <w:rPr>
                <w:szCs w:val="22"/>
              </w:rPr>
              <w:t>mammella</w:t>
            </w:r>
          </w:p>
        </w:tc>
        <w:tc>
          <w:tcPr>
            <w:tcW w:w="992" w:type="dxa"/>
            <w:tcBorders>
              <w:top w:val="single" w:sz="5" w:space="0" w:color="000000"/>
              <w:left w:val="single" w:sz="6" w:space="0" w:color="000000"/>
              <w:bottom w:val="single" w:sz="5" w:space="0" w:color="000000"/>
              <w:right w:val="single" w:sz="6" w:space="0" w:color="000000"/>
            </w:tcBorders>
          </w:tcPr>
          <w:p w14:paraId="49B70372" w14:textId="77777777" w:rsidR="006B3AD9" w:rsidRPr="00380B40"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0D0C02E2" w14:textId="77777777" w:rsidR="006B3AD9" w:rsidRPr="0045324C" w:rsidRDefault="006B3AD9" w:rsidP="002E28BF">
            <w:pPr>
              <w:spacing w:line="220" w:lineRule="exact"/>
              <w:ind w:left="21"/>
              <w:rPr>
                <w:szCs w:val="22"/>
              </w:rPr>
            </w:pPr>
          </w:p>
        </w:tc>
        <w:tc>
          <w:tcPr>
            <w:tcW w:w="2285" w:type="dxa"/>
            <w:tcBorders>
              <w:top w:val="single" w:sz="5" w:space="0" w:color="000000"/>
              <w:left w:val="single" w:sz="6" w:space="0" w:color="000000"/>
              <w:bottom w:val="single" w:sz="5" w:space="0" w:color="000000"/>
              <w:right w:val="single" w:sz="6" w:space="0" w:color="000000"/>
            </w:tcBorders>
          </w:tcPr>
          <w:p w14:paraId="20D7631B" w14:textId="77777777" w:rsidR="006B3AD9" w:rsidRPr="0045324C" w:rsidRDefault="00070BAA" w:rsidP="00A50720">
            <w:pPr>
              <w:spacing w:line="220" w:lineRule="exact"/>
              <w:ind w:left="23"/>
              <w:rPr>
                <w:szCs w:val="22"/>
              </w:rPr>
            </w:pPr>
            <w:r w:rsidRPr="0045324C">
              <w:rPr>
                <w:szCs w:val="22"/>
              </w:rPr>
              <w:t>Disfunzione</w:t>
            </w:r>
            <w:r w:rsidR="00A50720" w:rsidRPr="0045324C">
              <w:rPr>
                <w:szCs w:val="22"/>
              </w:rPr>
              <w:t xml:space="preserve"> </w:t>
            </w:r>
            <w:r w:rsidRPr="0045324C">
              <w:rPr>
                <w:szCs w:val="22"/>
              </w:rPr>
              <w:t>erettile</w:t>
            </w:r>
          </w:p>
        </w:tc>
        <w:tc>
          <w:tcPr>
            <w:tcW w:w="2261" w:type="dxa"/>
            <w:tcBorders>
              <w:top w:val="single" w:sz="5" w:space="0" w:color="000000"/>
              <w:left w:val="single" w:sz="6" w:space="0" w:color="000000"/>
              <w:bottom w:val="single" w:sz="5" w:space="0" w:color="000000"/>
              <w:right w:val="single" w:sz="6" w:space="0" w:color="000000"/>
            </w:tcBorders>
          </w:tcPr>
          <w:p w14:paraId="0201D5D5" w14:textId="77777777" w:rsidR="006B3AD9" w:rsidRPr="0045324C" w:rsidRDefault="006B3AD9" w:rsidP="002E28BF">
            <w:pPr>
              <w:spacing w:line="220" w:lineRule="exact"/>
              <w:ind w:left="23"/>
              <w:rPr>
                <w:szCs w:val="22"/>
              </w:rPr>
            </w:pPr>
          </w:p>
        </w:tc>
      </w:tr>
      <w:tr w:rsidR="006B3AD9" w:rsidRPr="0045324C" w14:paraId="617E82D5" w14:textId="77777777" w:rsidTr="00F27146">
        <w:trPr>
          <w:trHeight w:hRule="exact" w:val="1995"/>
          <w:jc w:val="center"/>
        </w:trPr>
        <w:tc>
          <w:tcPr>
            <w:tcW w:w="2119" w:type="dxa"/>
            <w:tcBorders>
              <w:top w:val="single" w:sz="5" w:space="0" w:color="000000"/>
              <w:left w:val="single" w:sz="6" w:space="0" w:color="000000"/>
              <w:bottom w:val="single" w:sz="5" w:space="0" w:color="000000"/>
              <w:right w:val="single" w:sz="6" w:space="0" w:color="000000"/>
            </w:tcBorders>
          </w:tcPr>
          <w:p w14:paraId="72CAF9EE" w14:textId="510E49A7" w:rsidR="008C1B16" w:rsidRPr="00D0367B" w:rsidRDefault="008C1B16" w:rsidP="008C1B16">
            <w:pPr>
              <w:spacing w:before="2" w:line="220" w:lineRule="exact"/>
              <w:ind w:left="21" w:right="188"/>
              <w:rPr>
                <w:szCs w:val="22"/>
              </w:rPr>
            </w:pPr>
            <w:r w:rsidRPr="00D0367B">
              <w:rPr>
                <w:szCs w:val="22"/>
              </w:rPr>
              <w:t>Patologie</w:t>
            </w:r>
          </w:p>
          <w:p w14:paraId="65221493" w14:textId="52B1C915" w:rsidR="006B3AD9" w:rsidRPr="00D0367B" w:rsidRDefault="008C1B16" w:rsidP="00380B40">
            <w:pPr>
              <w:spacing w:before="2" w:line="220" w:lineRule="exact"/>
              <w:ind w:left="21" w:right="188"/>
              <w:rPr>
                <w:szCs w:val="22"/>
              </w:rPr>
            </w:pPr>
            <w:r w:rsidRPr="00D0367B">
              <w:rPr>
                <w:szCs w:val="22"/>
              </w:rPr>
              <w:t>sistemiche e</w:t>
            </w:r>
            <w:r w:rsidR="0045324C">
              <w:rPr>
                <w:szCs w:val="22"/>
              </w:rPr>
              <w:t xml:space="preserve"> </w:t>
            </w:r>
            <w:r w:rsidRPr="00D0367B">
              <w:rPr>
                <w:szCs w:val="22"/>
              </w:rPr>
              <w:t>condizioni relative</w:t>
            </w:r>
            <w:r w:rsidR="0045324C">
              <w:rPr>
                <w:szCs w:val="22"/>
              </w:rPr>
              <w:t xml:space="preserve"> </w:t>
            </w:r>
            <w:r w:rsidRPr="00D0367B">
              <w:rPr>
                <w:szCs w:val="22"/>
              </w:rPr>
              <w:t>alla sede di</w:t>
            </w:r>
            <w:r w:rsidR="0045324C">
              <w:rPr>
                <w:szCs w:val="22"/>
              </w:rPr>
              <w:t xml:space="preserve"> </w:t>
            </w:r>
            <w:r w:rsidRPr="00D0367B">
              <w:rPr>
                <w:szCs w:val="22"/>
              </w:rPr>
              <w:t>somministrazione</w:t>
            </w:r>
          </w:p>
          <w:p w14:paraId="7403B529" w14:textId="7B14B99F" w:rsidR="008C1B16" w:rsidRPr="00D0367B" w:rsidRDefault="008C1B16" w:rsidP="008C1B16">
            <w:pPr>
              <w:spacing w:before="2" w:line="220" w:lineRule="exact"/>
              <w:ind w:left="21" w:right="188"/>
              <w:rPr>
                <w:szCs w:val="22"/>
              </w:rPr>
            </w:pPr>
          </w:p>
        </w:tc>
        <w:tc>
          <w:tcPr>
            <w:tcW w:w="992" w:type="dxa"/>
            <w:tcBorders>
              <w:top w:val="single" w:sz="5" w:space="0" w:color="000000"/>
              <w:left w:val="single" w:sz="6" w:space="0" w:color="000000"/>
              <w:bottom w:val="single" w:sz="5" w:space="0" w:color="000000"/>
              <w:right w:val="single" w:sz="6" w:space="0" w:color="000000"/>
            </w:tcBorders>
          </w:tcPr>
          <w:p w14:paraId="4D49CF65" w14:textId="77777777" w:rsidR="006B3AD9" w:rsidRPr="00D0367B" w:rsidRDefault="006B3AD9" w:rsidP="002E28BF">
            <w:pPr>
              <w:rPr>
                <w:szCs w:val="22"/>
              </w:rPr>
            </w:pPr>
          </w:p>
        </w:tc>
        <w:tc>
          <w:tcPr>
            <w:tcW w:w="1549" w:type="dxa"/>
            <w:tcBorders>
              <w:top w:val="single" w:sz="5" w:space="0" w:color="000000"/>
              <w:left w:val="single" w:sz="6" w:space="0" w:color="000000"/>
              <w:bottom w:val="single" w:sz="5" w:space="0" w:color="000000"/>
              <w:right w:val="single" w:sz="6" w:space="0" w:color="000000"/>
            </w:tcBorders>
          </w:tcPr>
          <w:p w14:paraId="23A625F1" w14:textId="77777777" w:rsidR="006B3AD9" w:rsidRPr="00380B40" w:rsidRDefault="00070BAA" w:rsidP="002E28BF">
            <w:pPr>
              <w:spacing w:line="220" w:lineRule="exact"/>
              <w:ind w:left="21"/>
              <w:rPr>
                <w:szCs w:val="22"/>
              </w:rPr>
            </w:pPr>
            <w:r w:rsidRPr="00380B40">
              <w:rPr>
                <w:szCs w:val="22"/>
              </w:rPr>
              <w:t>Spossatezza</w:t>
            </w:r>
          </w:p>
        </w:tc>
        <w:tc>
          <w:tcPr>
            <w:tcW w:w="2285" w:type="dxa"/>
            <w:tcBorders>
              <w:top w:val="single" w:sz="5" w:space="0" w:color="000000"/>
              <w:left w:val="single" w:sz="6" w:space="0" w:color="000000"/>
              <w:bottom w:val="single" w:sz="5" w:space="0" w:color="000000"/>
              <w:right w:val="single" w:sz="6" w:space="0" w:color="000000"/>
            </w:tcBorders>
          </w:tcPr>
          <w:p w14:paraId="380A56A2" w14:textId="77777777" w:rsidR="00070BAA" w:rsidRPr="0045324C" w:rsidRDefault="006B3AD9" w:rsidP="00070BAA">
            <w:pPr>
              <w:spacing w:line="220" w:lineRule="exact"/>
              <w:ind w:left="23" w:right="-61"/>
              <w:rPr>
                <w:szCs w:val="22"/>
              </w:rPr>
            </w:pPr>
            <w:r w:rsidRPr="0045324C">
              <w:rPr>
                <w:spacing w:val="-1"/>
                <w:szCs w:val="22"/>
              </w:rPr>
              <w:t>*</w:t>
            </w:r>
            <w:r w:rsidR="00070BAA" w:rsidRPr="0045324C">
              <w:rPr>
                <w:szCs w:val="22"/>
              </w:rPr>
              <w:t>Sindrome da</w:t>
            </w:r>
            <w:r w:rsidR="00A50720" w:rsidRPr="0045324C">
              <w:rPr>
                <w:szCs w:val="22"/>
              </w:rPr>
              <w:t xml:space="preserve"> </w:t>
            </w:r>
            <w:r w:rsidR="00070BAA" w:rsidRPr="0045324C">
              <w:rPr>
                <w:szCs w:val="22"/>
              </w:rPr>
              <w:t>sospensione</w:t>
            </w:r>
          </w:p>
          <w:p w14:paraId="7FAA54A6" w14:textId="77777777" w:rsidR="00070BAA" w:rsidRPr="0045324C" w:rsidRDefault="00070BAA" w:rsidP="00070BAA">
            <w:pPr>
              <w:spacing w:line="220" w:lineRule="exact"/>
              <w:ind w:left="23" w:right="-61"/>
              <w:rPr>
                <w:szCs w:val="22"/>
              </w:rPr>
            </w:pPr>
            <w:r w:rsidRPr="0045324C">
              <w:rPr>
                <w:szCs w:val="22"/>
              </w:rPr>
              <w:t>Astenia</w:t>
            </w:r>
          </w:p>
          <w:p w14:paraId="447E4F4D" w14:textId="77777777" w:rsidR="006B3AD9" w:rsidRPr="0045324C" w:rsidRDefault="00070BAA" w:rsidP="00070BAA">
            <w:pPr>
              <w:spacing w:line="220" w:lineRule="exact"/>
              <w:ind w:left="23"/>
              <w:rPr>
                <w:szCs w:val="22"/>
              </w:rPr>
            </w:pPr>
            <w:r w:rsidRPr="0045324C">
              <w:rPr>
                <w:szCs w:val="22"/>
              </w:rPr>
              <w:t>Malessere</w:t>
            </w:r>
          </w:p>
        </w:tc>
        <w:tc>
          <w:tcPr>
            <w:tcW w:w="2261" w:type="dxa"/>
            <w:tcBorders>
              <w:top w:val="single" w:sz="5" w:space="0" w:color="000000"/>
              <w:left w:val="single" w:sz="6" w:space="0" w:color="000000"/>
              <w:bottom w:val="single" w:sz="5" w:space="0" w:color="000000"/>
              <w:right w:val="single" w:sz="6" w:space="0" w:color="000000"/>
            </w:tcBorders>
          </w:tcPr>
          <w:p w14:paraId="3CB52580" w14:textId="77777777" w:rsidR="00070BAA" w:rsidRPr="0045324C" w:rsidRDefault="00070BAA" w:rsidP="00070BAA">
            <w:pPr>
              <w:spacing w:before="2" w:line="220" w:lineRule="exact"/>
              <w:ind w:left="23" w:right="306"/>
              <w:rPr>
                <w:szCs w:val="22"/>
              </w:rPr>
            </w:pPr>
            <w:r w:rsidRPr="0045324C">
              <w:rPr>
                <w:szCs w:val="22"/>
              </w:rPr>
              <w:t>Rossore e vampate</w:t>
            </w:r>
            <w:r w:rsidR="00A50720" w:rsidRPr="0045324C">
              <w:rPr>
                <w:szCs w:val="22"/>
              </w:rPr>
              <w:t xml:space="preserve"> </w:t>
            </w:r>
            <w:r w:rsidRPr="0045324C">
              <w:rPr>
                <w:szCs w:val="22"/>
              </w:rPr>
              <w:t>di calore</w:t>
            </w:r>
          </w:p>
          <w:p w14:paraId="0C6C61E4" w14:textId="77777777" w:rsidR="00070BAA" w:rsidRPr="0045324C" w:rsidRDefault="00070BAA" w:rsidP="00070BAA">
            <w:pPr>
              <w:spacing w:before="2" w:line="220" w:lineRule="exact"/>
              <w:ind w:left="23" w:right="306"/>
              <w:rPr>
                <w:szCs w:val="22"/>
              </w:rPr>
            </w:pPr>
            <w:r w:rsidRPr="0045324C">
              <w:rPr>
                <w:szCs w:val="22"/>
              </w:rPr>
              <w:t>Edema periferico</w:t>
            </w:r>
          </w:p>
          <w:p w14:paraId="34F418C2" w14:textId="77777777" w:rsidR="00070BAA" w:rsidRPr="0045324C" w:rsidRDefault="00070BAA" w:rsidP="00070BAA">
            <w:pPr>
              <w:spacing w:before="2" w:line="220" w:lineRule="exact"/>
              <w:ind w:left="23" w:right="306"/>
              <w:rPr>
                <w:szCs w:val="22"/>
              </w:rPr>
            </w:pPr>
            <w:r w:rsidRPr="0045324C">
              <w:rPr>
                <w:szCs w:val="22"/>
              </w:rPr>
              <w:t>Piressia</w:t>
            </w:r>
          </w:p>
          <w:p w14:paraId="248930E6" w14:textId="77777777" w:rsidR="006B3AD9" w:rsidRDefault="00070BAA" w:rsidP="00070BAA">
            <w:pPr>
              <w:spacing w:before="2" w:line="220" w:lineRule="exact"/>
              <w:ind w:left="23" w:right="306"/>
              <w:rPr>
                <w:szCs w:val="22"/>
              </w:rPr>
            </w:pPr>
            <w:r w:rsidRPr="0045324C">
              <w:rPr>
                <w:szCs w:val="22"/>
              </w:rPr>
              <w:t>Sindrome di astinenza neonatale</w:t>
            </w:r>
          </w:p>
          <w:p w14:paraId="13669568" w14:textId="5F68DF1E" w:rsidR="005C6E31" w:rsidRPr="0045324C" w:rsidRDefault="005C6E31" w:rsidP="00070BAA">
            <w:pPr>
              <w:spacing w:before="2" w:line="220" w:lineRule="exact"/>
              <w:ind w:left="23" w:right="306"/>
              <w:rPr>
                <w:szCs w:val="22"/>
              </w:rPr>
            </w:pPr>
            <w:r w:rsidRPr="005C6E31">
              <w:rPr>
                <w:szCs w:val="22"/>
              </w:rPr>
              <w:t>Tolleranza al farmaco</w:t>
            </w:r>
          </w:p>
        </w:tc>
      </w:tr>
      <w:tr w:rsidR="006B3AD9" w:rsidRPr="0045324C" w14:paraId="3DE362D6" w14:textId="77777777" w:rsidTr="00D0367B">
        <w:trPr>
          <w:trHeight w:hRule="exact" w:val="1141"/>
          <w:jc w:val="center"/>
        </w:trPr>
        <w:tc>
          <w:tcPr>
            <w:tcW w:w="2119" w:type="dxa"/>
            <w:tcBorders>
              <w:top w:val="single" w:sz="5" w:space="0" w:color="000000"/>
              <w:left w:val="single" w:sz="6" w:space="0" w:color="000000"/>
              <w:bottom w:val="single" w:sz="6" w:space="0" w:color="000000"/>
              <w:right w:val="single" w:sz="6" w:space="0" w:color="000000"/>
            </w:tcBorders>
          </w:tcPr>
          <w:p w14:paraId="4D6E0D3B" w14:textId="77777777" w:rsidR="00070BAA" w:rsidRPr="00D0367B" w:rsidRDefault="00070BAA" w:rsidP="00070BAA">
            <w:pPr>
              <w:spacing w:before="2" w:line="220" w:lineRule="exact"/>
              <w:ind w:left="21" w:right="188"/>
              <w:rPr>
                <w:spacing w:val="-1"/>
                <w:szCs w:val="22"/>
              </w:rPr>
            </w:pPr>
            <w:r w:rsidRPr="00D0367B">
              <w:rPr>
                <w:spacing w:val="-1"/>
                <w:szCs w:val="22"/>
              </w:rPr>
              <w:t>Traumatismo,</w:t>
            </w:r>
          </w:p>
          <w:p w14:paraId="2C9D8D9D" w14:textId="7722F17C" w:rsidR="006B3AD9" w:rsidRPr="00D0367B" w:rsidRDefault="00070BAA">
            <w:pPr>
              <w:spacing w:before="2" w:line="220" w:lineRule="exact"/>
              <w:ind w:left="21" w:right="188"/>
              <w:rPr>
                <w:spacing w:val="1"/>
                <w:szCs w:val="22"/>
              </w:rPr>
            </w:pPr>
            <w:r w:rsidRPr="00D0367B">
              <w:rPr>
                <w:spacing w:val="-1"/>
                <w:szCs w:val="22"/>
              </w:rPr>
              <w:t>avvelenamento e</w:t>
            </w:r>
            <w:r w:rsidR="0045324C">
              <w:rPr>
                <w:spacing w:val="-1"/>
                <w:szCs w:val="22"/>
              </w:rPr>
              <w:t xml:space="preserve"> </w:t>
            </w:r>
            <w:r w:rsidRPr="00D0367B">
              <w:rPr>
                <w:spacing w:val="-1"/>
                <w:szCs w:val="22"/>
              </w:rPr>
              <w:t>complicazioni da</w:t>
            </w:r>
            <w:r w:rsidR="0045324C">
              <w:rPr>
                <w:spacing w:val="-1"/>
                <w:szCs w:val="22"/>
              </w:rPr>
              <w:t xml:space="preserve"> </w:t>
            </w:r>
            <w:r w:rsidRPr="00D0367B">
              <w:rPr>
                <w:spacing w:val="-1"/>
                <w:szCs w:val="22"/>
              </w:rPr>
              <w:t>procedura</w:t>
            </w:r>
          </w:p>
        </w:tc>
        <w:tc>
          <w:tcPr>
            <w:tcW w:w="992" w:type="dxa"/>
            <w:tcBorders>
              <w:top w:val="single" w:sz="5" w:space="0" w:color="000000"/>
              <w:left w:val="single" w:sz="6" w:space="0" w:color="000000"/>
              <w:bottom w:val="single" w:sz="6" w:space="0" w:color="000000"/>
              <w:right w:val="single" w:sz="6" w:space="0" w:color="000000"/>
            </w:tcBorders>
          </w:tcPr>
          <w:p w14:paraId="334E856B" w14:textId="77777777" w:rsidR="006B3AD9" w:rsidRPr="00380B40" w:rsidRDefault="006B3AD9" w:rsidP="002E28BF">
            <w:pPr>
              <w:rPr>
                <w:szCs w:val="22"/>
              </w:rPr>
            </w:pPr>
          </w:p>
        </w:tc>
        <w:tc>
          <w:tcPr>
            <w:tcW w:w="1549" w:type="dxa"/>
            <w:tcBorders>
              <w:top w:val="single" w:sz="5" w:space="0" w:color="000000"/>
              <w:left w:val="single" w:sz="6" w:space="0" w:color="000000"/>
              <w:bottom w:val="single" w:sz="6" w:space="0" w:color="000000"/>
              <w:right w:val="single" w:sz="6" w:space="0" w:color="000000"/>
            </w:tcBorders>
          </w:tcPr>
          <w:p w14:paraId="66613B5A" w14:textId="77777777" w:rsidR="006B3AD9" w:rsidRPr="0045324C" w:rsidRDefault="006B3AD9" w:rsidP="002E28BF">
            <w:pPr>
              <w:spacing w:line="220" w:lineRule="exact"/>
              <w:ind w:left="21"/>
              <w:rPr>
                <w:szCs w:val="22"/>
              </w:rPr>
            </w:pPr>
          </w:p>
        </w:tc>
        <w:tc>
          <w:tcPr>
            <w:tcW w:w="2285" w:type="dxa"/>
            <w:tcBorders>
              <w:top w:val="single" w:sz="5" w:space="0" w:color="000000"/>
              <w:left w:val="single" w:sz="6" w:space="0" w:color="000000"/>
              <w:bottom w:val="single" w:sz="6" w:space="0" w:color="000000"/>
              <w:right w:val="single" w:sz="6" w:space="0" w:color="000000"/>
            </w:tcBorders>
          </w:tcPr>
          <w:p w14:paraId="3B2ED199" w14:textId="77777777" w:rsidR="006B3AD9" w:rsidRPr="0045324C" w:rsidRDefault="00070BAA" w:rsidP="00A50720">
            <w:pPr>
              <w:spacing w:line="220" w:lineRule="exact"/>
              <w:ind w:left="23" w:right="-61"/>
              <w:rPr>
                <w:spacing w:val="-1"/>
                <w:szCs w:val="22"/>
              </w:rPr>
            </w:pPr>
            <w:r w:rsidRPr="0045324C">
              <w:rPr>
                <w:szCs w:val="22"/>
              </w:rPr>
              <w:t>Sovradosaggio</w:t>
            </w:r>
            <w:r w:rsidR="00A50720" w:rsidRPr="0045324C">
              <w:rPr>
                <w:szCs w:val="22"/>
              </w:rPr>
              <w:t xml:space="preserve"> </w:t>
            </w:r>
            <w:r w:rsidRPr="0045324C">
              <w:rPr>
                <w:szCs w:val="22"/>
              </w:rPr>
              <w:t>accidentale</w:t>
            </w:r>
          </w:p>
        </w:tc>
        <w:tc>
          <w:tcPr>
            <w:tcW w:w="2261" w:type="dxa"/>
            <w:tcBorders>
              <w:top w:val="single" w:sz="5" w:space="0" w:color="000000"/>
              <w:left w:val="single" w:sz="6" w:space="0" w:color="000000"/>
              <w:bottom w:val="single" w:sz="6" w:space="0" w:color="000000"/>
              <w:right w:val="single" w:sz="6" w:space="0" w:color="000000"/>
            </w:tcBorders>
          </w:tcPr>
          <w:p w14:paraId="0E2BB5A0" w14:textId="77777777" w:rsidR="006B3AD9" w:rsidRPr="0045324C" w:rsidRDefault="00070BAA" w:rsidP="002E28BF">
            <w:pPr>
              <w:spacing w:before="2" w:line="220" w:lineRule="exact"/>
              <w:ind w:left="23" w:right="306"/>
              <w:rPr>
                <w:szCs w:val="22"/>
              </w:rPr>
            </w:pPr>
            <w:r w:rsidRPr="0045324C">
              <w:rPr>
                <w:szCs w:val="22"/>
              </w:rPr>
              <w:t>Cadute</w:t>
            </w:r>
          </w:p>
        </w:tc>
      </w:tr>
    </w:tbl>
    <w:p w14:paraId="57538FEC" w14:textId="77777777" w:rsidR="00612FE1" w:rsidRPr="008C60E2" w:rsidRDefault="00AB28C0" w:rsidP="00AB28C0">
      <w:pPr>
        <w:autoSpaceDE w:val="0"/>
        <w:autoSpaceDN w:val="0"/>
        <w:adjustRightInd w:val="0"/>
        <w:rPr>
          <w:i/>
          <w:noProof/>
          <w:szCs w:val="22"/>
        </w:rPr>
      </w:pPr>
      <w:r>
        <w:rPr>
          <w:rFonts w:ascii="TimesNewRomanPS-ItalicMT" w:hAnsi="TimesNewRomanPS-ItalicMT" w:cs="TimesNewRomanPS-ItalicMT"/>
          <w:i/>
          <w:iCs/>
          <w:szCs w:val="22"/>
          <w:lang w:eastAsia="en-GB"/>
        </w:rPr>
        <w:t>*</w:t>
      </w:r>
      <w:r w:rsidRPr="00AB28C0">
        <w:rPr>
          <w:noProof/>
          <w:szCs w:val="22"/>
        </w:rPr>
        <w:t xml:space="preserve"> </w:t>
      </w:r>
      <w:r w:rsidRPr="008C60E2">
        <w:rPr>
          <w:i/>
          <w:noProof/>
          <w:szCs w:val="22"/>
        </w:rPr>
        <w:t>sintomi da sospensione di farmaci oppiacei quali nausea, vomito, diarrea, an</w:t>
      </w:r>
      <w:r w:rsidR="008C60E2">
        <w:rPr>
          <w:i/>
          <w:noProof/>
          <w:szCs w:val="22"/>
        </w:rPr>
        <w:t xml:space="preserve">sia, brividi, tremori e sudorazione </w:t>
      </w:r>
      <w:r w:rsidRPr="008C60E2">
        <w:rPr>
          <w:i/>
          <w:noProof/>
          <w:szCs w:val="22"/>
        </w:rPr>
        <w:t>sono stati osservati in caso di somministrazione di fentanil per via transmucosale</w:t>
      </w:r>
    </w:p>
    <w:p w14:paraId="3BC524F4" w14:textId="1E2ED8CF" w:rsidR="00C75B69" w:rsidRDefault="00C75B69" w:rsidP="00AD4B58">
      <w:pPr>
        <w:suppressAutoHyphens/>
      </w:pPr>
    </w:p>
    <w:p w14:paraId="06404ECD" w14:textId="580419C0" w:rsidR="00B10013" w:rsidRDefault="00B10013" w:rsidP="00AD4B58">
      <w:pPr>
        <w:suppressAutoHyphens/>
        <w:rPr>
          <w:u w:val="single"/>
        </w:rPr>
      </w:pPr>
      <w:r w:rsidRPr="00F27146">
        <w:rPr>
          <w:u w:val="single"/>
        </w:rPr>
        <w:t xml:space="preserve">Descrizione </w:t>
      </w:r>
      <w:r w:rsidR="00D44402">
        <w:rPr>
          <w:u w:val="single"/>
        </w:rPr>
        <w:t>di</w:t>
      </w:r>
      <w:r w:rsidRPr="00F27146">
        <w:rPr>
          <w:u w:val="single"/>
        </w:rPr>
        <w:t xml:space="preserve"> reazioni avverse selezionate</w:t>
      </w:r>
    </w:p>
    <w:p w14:paraId="39E17134" w14:textId="18C0A48C" w:rsidR="00B10013" w:rsidRDefault="00B10013" w:rsidP="00AD4B58">
      <w:pPr>
        <w:suppressAutoHyphens/>
        <w:rPr>
          <w:u w:val="single"/>
        </w:rPr>
      </w:pPr>
    </w:p>
    <w:p w14:paraId="22AC2196" w14:textId="77777777" w:rsidR="00B10013" w:rsidRPr="00F27146" w:rsidRDefault="00B10013" w:rsidP="00B10013">
      <w:pPr>
        <w:suppressAutoHyphens/>
        <w:rPr>
          <w:i/>
          <w:iCs/>
        </w:rPr>
      </w:pPr>
      <w:r w:rsidRPr="00F27146">
        <w:rPr>
          <w:i/>
          <w:iCs/>
        </w:rPr>
        <w:lastRenderedPageBreak/>
        <w:t>Tolleranza</w:t>
      </w:r>
    </w:p>
    <w:p w14:paraId="680C491D" w14:textId="49A04710" w:rsidR="00B10013" w:rsidRDefault="00D44402" w:rsidP="00B10013">
      <w:pPr>
        <w:suppressAutoHyphens/>
      </w:pPr>
      <w:r w:rsidRPr="00D44402">
        <w:t>Con l’uso ripetuto può svilupparsi tolleranza.</w:t>
      </w:r>
    </w:p>
    <w:p w14:paraId="24D3136C" w14:textId="77777777" w:rsidR="00D44402" w:rsidRDefault="00D44402" w:rsidP="00B10013">
      <w:pPr>
        <w:suppressAutoHyphens/>
      </w:pPr>
    </w:p>
    <w:p w14:paraId="69A712CA" w14:textId="77777777" w:rsidR="00D44402" w:rsidRPr="00D44402" w:rsidRDefault="00D44402" w:rsidP="00D44402">
      <w:pPr>
        <w:suppressAutoHyphens/>
        <w:rPr>
          <w:i/>
          <w:iCs/>
        </w:rPr>
      </w:pPr>
      <w:r w:rsidRPr="00D44402">
        <w:rPr>
          <w:i/>
          <w:iCs/>
        </w:rPr>
        <w:t>Dipendenza da sostanze d’abuso</w:t>
      </w:r>
    </w:p>
    <w:p w14:paraId="3A505887" w14:textId="0F1BF58F" w:rsidR="00B10013" w:rsidRPr="00D44402" w:rsidRDefault="00D44402" w:rsidP="00D44402">
      <w:pPr>
        <w:suppressAutoHyphens/>
      </w:pPr>
      <w:r w:rsidRPr="00F27146">
        <w:t xml:space="preserve">L’uso ripetuto di </w:t>
      </w:r>
      <w:proofErr w:type="spellStart"/>
      <w:r>
        <w:t>Sublifen</w:t>
      </w:r>
      <w:proofErr w:type="spellEnd"/>
      <w:r w:rsidRPr="00F27146">
        <w:t xml:space="preserve"> può causare dipendenza da sostanze d’abuso, anche a dosi terapeutiche. Il rischio di dipendenza da sostanze d’abuso può variare a seconda dei fattori di rischio individuali del paziente, della posologia e della durata del trattamento con oppioidi (vedere paragrafo 4.4).</w:t>
      </w:r>
    </w:p>
    <w:p w14:paraId="7ECFC5C0" w14:textId="77777777" w:rsidR="00B10013" w:rsidRPr="00804996" w:rsidRDefault="00B10013" w:rsidP="00AD4B58">
      <w:pPr>
        <w:suppressAutoHyphens/>
      </w:pPr>
    </w:p>
    <w:p w14:paraId="152784C7" w14:textId="77777777" w:rsidR="003F2DF7" w:rsidRPr="00BC40BA" w:rsidRDefault="00B46DB0" w:rsidP="003F2DF7">
      <w:pPr>
        <w:rPr>
          <w:szCs w:val="22"/>
          <w:u w:val="single"/>
        </w:rPr>
      </w:pPr>
      <w:r w:rsidRPr="00BC40BA">
        <w:rPr>
          <w:noProof/>
          <w:szCs w:val="22"/>
          <w:u w:val="single"/>
        </w:rPr>
        <w:t>Segnalazione delle reazioni avverse sospette</w:t>
      </w:r>
    </w:p>
    <w:p w14:paraId="281D7B7E" w14:textId="77777777" w:rsidR="003F2DF7" w:rsidRPr="00804996" w:rsidRDefault="00B46DB0" w:rsidP="00655B86">
      <w:pPr>
        <w:suppressAutoHyphens/>
        <w:rPr>
          <w:rFonts w:eastAsia="SimSun"/>
          <w:color w:val="008000"/>
          <w:szCs w:val="22"/>
          <w:lang w:eastAsia="zh-CN"/>
        </w:rPr>
      </w:pPr>
      <w:r w:rsidRPr="00804996">
        <w:rPr>
          <w:noProof/>
          <w:szCs w:val="22"/>
        </w:rPr>
        <w:t>La segnalazione delle reazioni avverse sospette che si verificano dopo l</w:t>
      </w:r>
      <w:r w:rsidR="00393B71">
        <w:rPr>
          <w:noProof/>
          <w:szCs w:val="22"/>
        </w:rPr>
        <w:t>’</w:t>
      </w:r>
      <w:r w:rsidRPr="00804996">
        <w:rPr>
          <w:noProof/>
          <w:szCs w:val="22"/>
        </w:rPr>
        <w:t xml:space="preserve">autorizzazione del medicinale è importante, in quanto permette un monitoraggio continuo del rapporto beneficio/rischio del medicinale. Agli operatori sanitari è richiesto di segnalare qualsiasi reazione avversa sospetta tramite </w:t>
      </w:r>
      <w:r w:rsidRPr="00BC40BA">
        <w:rPr>
          <w:noProof/>
          <w:szCs w:val="22"/>
        </w:rPr>
        <w:t>il sistema nazionale di segnalazione</w:t>
      </w:r>
      <w:r w:rsidR="00BC40BA">
        <w:rPr>
          <w:noProof/>
          <w:szCs w:val="22"/>
        </w:rPr>
        <w:t xml:space="preserve"> all</w:t>
      </w:r>
      <w:r w:rsidR="00393B71">
        <w:rPr>
          <w:noProof/>
          <w:szCs w:val="22"/>
        </w:rPr>
        <w:t>’</w:t>
      </w:r>
      <w:r w:rsidR="00BC40BA">
        <w:rPr>
          <w:noProof/>
          <w:szCs w:val="22"/>
        </w:rPr>
        <w:t xml:space="preserve">indirizzo </w:t>
      </w:r>
      <w:hyperlink r:id="rId7" w:history="1">
        <w:r w:rsidR="00BC40BA" w:rsidRPr="00BC2435">
          <w:rPr>
            <w:rStyle w:val="Collegamentoipertestuale"/>
            <w:noProof/>
            <w:szCs w:val="22"/>
          </w:rPr>
          <w:t>https://www.aifa.gov.it/content/segnalazioni-reazioni-avverse</w:t>
        </w:r>
      </w:hyperlink>
      <w:r w:rsidR="00BC40BA">
        <w:rPr>
          <w:noProof/>
          <w:szCs w:val="22"/>
        </w:rPr>
        <w:t xml:space="preserve">. </w:t>
      </w:r>
    </w:p>
    <w:p w14:paraId="0E176944" w14:textId="77777777" w:rsidR="003F2DF7" w:rsidRPr="00804996" w:rsidRDefault="003F2DF7" w:rsidP="00AD4B58">
      <w:pPr>
        <w:suppressAutoHyphens/>
      </w:pPr>
    </w:p>
    <w:p w14:paraId="332E1D09" w14:textId="77777777" w:rsidR="00C75B69" w:rsidRPr="00804996" w:rsidRDefault="00B46DB0" w:rsidP="00AD4B58">
      <w:pPr>
        <w:suppressAutoHyphens/>
        <w:ind w:left="567" w:hanging="567"/>
      </w:pPr>
      <w:r w:rsidRPr="00804996">
        <w:rPr>
          <w:b/>
        </w:rPr>
        <w:t>4.9</w:t>
      </w:r>
      <w:r w:rsidRPr="00804996">
        <w:rPr>
          <w:b/>
        </w:rPr>
        <w:tab/>
        <w:t>Sovradosaggio</w:t>
      </w:r>
    </w:p>
    <w:p w14:paraId="0B1CB91D" w14:textId="77777777" w:rsidR="00C75B69" w:rsidRPr="00804996" w:rsidRDefault="00C75B69" w:rsidP="00AD4B58">
      <w:pPr>
        <w:suppressAutoHyphens/>
      </w:pPr>
    </w:p>
    <w:p w14:paraId="67F65504" w14:textId="4E663B01" w:rsidR="00A67F12" w:rsidRDefault="00A67F12" w:rsidP="00A67F12">
      <w:pPr>
        <w:suppressAutoHyphens/>
      </w:pPr>
      <w:r w:rsidRPr="00A67F12">
        <w:t xml:space="preserve">I sintomi di sovradosaggio da </w:t>
      </w:r>
      <w:proofErr w:type="spellStart"/>
      <w:r w:rsidRPr="00A67F12">
        <w:t>fentanil</w:t>
      </w:r>
      <w:proofErr w:type="spellEnd"/>
      <w:r w:rsidRPr="00A67F12">
        <w:t xml:space="preserve"> sono una intensificazione delle sue azioni farmacologiche,</w:t>
      </w:r>
      <w:r>
        <w:t xml:space="preserve"> </w:t>
      </w:r>
      <w:r w:rsidRPr="00A67F12">
        <w:t>l</w:t>
      </w:r>
      <w:r w:rsidR="00393B71">
        <w:t>’</w:t>
      </w:r>
      <w:r w:rsidRPr="00A67F12">
        <w:t>effetto più grave delle quali è la depressione respiratoria, che può causare arresto respiratorio. Può</w:t>
      </w:r>
      <w:r w:rsidR="00A50720">
        <w:t xml:space="preserve"> </w:t>
      </w:r>
      <w:r w:rsidRPr="00A67F12">
        <w:t>verificarsi anche coma.</w:t>
      </w:r>
    </w:p>
    <w:p w14:paraId="42F275CC" w14:textId="7123E39A" w:rsidR="0044501C" w:rsidRDefault="00D44402" w:rsidP="00A67F12">
      <w:pPr>
        <w:suppressAutoHyphens/>
      </w:pPr>
      <w:r w:rsidRPr="00D44402">
        <w:t xml:space="preserve">Con il sovradosaggio di </w:t>
      </w:r>
      <w:proofErr w:type="spellStart"/>
      <w:r w:rsidRPr="00D44402">
        <w:t>fentanil</w:t>
      </w:r>
      <w:proofErr w:type="spellEnd"/>
      <w:r w:rsidRPr="00D44402">
        <w:t xml:space="preserve"> è stata osservata anche </w:t>
      </w:r>
      <w:proofErr w:type="spellStart"/>
      <w:r w:rsidRPr="00D44402">
        <w:t>leucoencefalopatia</w:t>
      </w:r>
      <w:proofErr w:type="spellEnd"/>
      <w:r w:rsidRPr="00D44402">
        <w:t xml:space="preserve"> tossica.</w:t>
      </w:r>
    </w:p>
    <w:p w14:paraId="70285F3B" w14:textId="77777777" w:rsidR="00A67F12" w:rsidRPr="00A67F12" w:rsidRDefault="00A67F12" w:rsidP="00A67F12">
      <w:pPr>
        <w:suppressAutoHyphens/>
      </w:pPr>
    </w:p>
    <w:p w14:paraId="57DA4009" w14:textId="77777777" w:rsidR="00A67F12" w:rsidRDefault="00A67F12" w:rsidP="00A67F12">
      <w:pPr>
        <w:suppressAutoHyphens/>
      </w:pPr>
      <w:r w:rsidRPr="00A67F12">
        <w:t>La gestione immediata del sovradosaggio da oppiacei include la rimozione dalla bocca di eventuali</w:t>
      </w:r>
      <w:r>
        <w:t xml:space="preserve"> </w:t>
      </w:r>
      <w:r w:rsidRPr="00A67F12">
        <w:t xml:space="preserve">compresse sublinguali di </w:t>
      </w:r>
      <w:proofErr w:type="spellStart"/>
      <w:r>
        <w:t>Sublifen</w:t>
      </w:r>
      <w:proofErr w:type="spellEnd"/>
      <w:r w:rsidRPr="00A67F12">
        <w:t xml:space="preserve"> residue, la stimolazione fisica e verbale del paziente e la valutazione</w:t>
      </w:r>
      <w:r>
        <w:t xml:space="preserve"> </w:t>
      </w:r>
      <w:r w:rsidRPr="00A67F12">
        <w:t>del livello di coscienza. Si deve stabilire e mantenere la pervietà delle vie aeree. Se necessario inserire</w:t>
      </w:r>
      <w:r>
        <w:t xml:space="preserve"> </w:t>
      </w:r>
      <w:r w:rsidRPr="00A67F12">
        <w:t>una via respiratoria orofaringea o un tubo endotracheale, somministrare ossigeno e iniziare la</w:t>
      </w:r>
      <w:r>
        <w:t xml:space="preserve"> </w:t>
      </w:r>
      <w:r w:rsidRPr="00A67F12">
        <w:t>ventilazione meccanica, secondo necessità. Mantenere adeguata temperatura corporea e</w:t>
      </w:r>
      <w:r>
        <w:t xml:space="preserve"> </w:t>
      </w:r>
      <w:r w:rsidRPr="00A67F12">
        <w:t>somministrazione di fluido per via parenterale.</w:t>
      </w:r>
    </w:p>
    <w:p w14:paraId="6AD77ECC" w14:textId="77777777" w:rsidR="00A67F12" w:rsidRPr="00A67F12" w:rsidRDefault="00A67F12" w:rsidP="00A67F12">
      <w:pPr>
        <w:suppressAutoHyphens/>
      </w:pPr>
    </w:p>
    <w:p w14:paraId="682836AB" w14:textId="77777777" w:rsidR="00A67F12" w:rsidRDefault="00A67F12" w:rsidP="00A67F12">
      <w:pPr>
        <w:suppressAutoHyphens/>
      </w:pPr>
      <w:r w:rsidRPr="00A67F12">
        <w:t>Per il trattamento del sovradosaggio accidentale in individui naïve agli oppiacei, si devono usare</w:t>
      </w:r>
      <w:r>
        <w:t xml:space="preserve"> </w:t>
      </w:r>
      <w:r w:rsidRPr="00A67F12">
        <w:t>naloxone o altri antagonisti degli oppiacei, così come indicato da un punto di vista clinico e sulla base</w:t>
      </w:r>
      <w:r w:rsidR="00A50720">
        <w:t xml:space="preserve"> </w:t>
      </w:r>
      <w:r w:rsidRPr="00A67F12">
        <w:t>del relativo Riassunto delle Caratteristiche del Prodotto. La somministrazione ripetuta di antagonisti</w:t>
      </w:r>
      <w:r>
        <w:t xml:space="preserve"> </w:t>
      </w:r>
      <w:r w:rsidRPr="00A67F12">
        <w:t>degli oppiacei può essere necessaria se la durata della depressione respiratoria si prolunga.</w:t>
      </w:r>
    </w:p>
    <w:p w14:paraId="69C620F3" w14:textId="77777777" w:rsidR="00A67F12" w:rsidRPr="00A67F12" w:rsidRDefault="00A67F12" w:rsidP="00A67F12">
      <w:pPr>
        <w:suppressAutoHyphens/>
      </w:pPr>
    </w:p>
    <w:p w14:paraId="70EAFA84" w14:textId="77777777" w:rsidR="00A67F12" w:rsidRDefault="00A67F12" w:rsidP="00A67F12">
      <w:pPr>
        <w:suppressAutoHyphens/>
      </w:pPr>
      <w:r>
        <w:t>Si deve prestare attenzione all</w:t>
      </w:r>
      <w:r w:rsidR="00393B71">
        <w:t>’</w:t>
      </w:r>
      <w:r w:rsidRPr="00A67F12">
        <w:t>uso del naloxone o di altri antagonisti degli oppiacei per trattare il</w:t>
      </w:r>
      <w:r>
        <w:t xml:space="preserve"> </w:t>
      </w:r>
      <w:r w:rsidRPr="00A67F12">
        <w:t>sovradosaggio nei pazienti sotto terapia con oppiacei, in quanto esiste rischio di incorrere nella</w:t>
      </w:r>
      <w:r>
        <w:t xml:space="preserve"> </w:t>
      </w:r>
      <w:r w:rsidRPr="00A67F12">
        <w:t>sindrome di astinenza acuta.</w:t>
      </w:r>
    </w:p>
    <w:p w14:paraId="01999DE8" w14:textId="77777777" w:rsidR="00A67F12" w:rsidRPr="00A67F12" w:rsidRDefault="00A67F12" w:rsidP="00A67F12">
      <w:pPr>
        <w:suppressAutoHyphens/>
      </w:pPr>
    </w:p>
    <w:p w14:paraId="7D4B7BCF" w14:textId="77777777" w:rsidR="00A67F12" w:rsidRDefault="00A67F12" w:rsidP="00A67F12">
      <w:pPr>
        <w:suppressAutoHyphens/>
      </w:pPr>
      <w:r w:rsidRPr="00A67F12">
        <w:t xml:space="preserve">Nel caso in cui si verifichi </w:t>
      </w:r>
      <w:r w:rsidR="009D4346">
        <w:t>severa</w:t>
      </w:r>
      <w:r w:rsidRPr="00A67F12">
        <w:t xml:space="preserve"> o persistente ipotensione, valutare l</w:t>
      </w:r>
      <w:r w:rsidR="00393B71">
        <w:t>’</w:t>
      </w:r>
      <w:r w:rsidRPr="00A67F12">
        <w:t>ipovolemia e il problema deve</w:t>
      </w:r>
      <w:r>
        <w:t xml:space="preserve"> </w:t>
      </w:r>
      <w:r w:rsidRPr="00A67F12">
        <w:t>essere gestito con idonea terapia mediante fluido per via parenterale.</w:t>
      </w:r>
    </w:p>
    <w:p w14:paraId="53D9ACAF" w14:textId="77777777" w:rsidR="00A67F12" w:rsidRPr="00A67F12" w:rsidRDefault="00A67F12" w:rsidP="00A67F12">
      <w:pPr>
        <w:suppressAutoHyphens/>
      </w:pPr>
    </w:p>
    <w:p w14:paraId="60C29DF3" w14:textId="77777777" w:rsidR="00A67F12" w:rsidRPr="00A67F12" w:rsidRDefault="00A67F12" w:rsidP="00A67F12">
      <w:pPr>
        <w:suppressAutoHyphens/>
      </w:pPr>
      <w:r w:rsidRPr="00A67F12">
        <w:t xml:space="preserve">Con il </w:t>
      </w:r>
      <w:proofErr w:type="spellStart"/>
      <w:r w:rsidRPr="00A67F12">
        <w:t>fentanil</w:t>
      </w:r>
      <w:proofErr w:type="spellEnd"/>
      <w:r w:rsidRPr="00A67F12">
        <w:t xml:space="preserve"> e altri oppiacei è stata segnalata rigidità muscolare che interferisce con la respirazione.</w:t>
      </w:r>
    </w:p>
    <w:p w14:paraId="25324E18" w14:textId="77777777" w:rsidR="00C75B69" w:rsidRPr="00A67F12" w:rsidRDefault="00A67F12" w:rsidP="00A67F12">
      <w:pPr>
        <w:suppressAutoHyphens/>
      </w:pPr>
      <w:r w:rsidRPr="00A67F12">
        <w:t>In questa situazi</w:t>
      </w:r>
      <w:r w:rsidR="00DB034A">
        <w:t>one, può risultare necessaria l</w:t>
      </w:r>
      <w:r w:rsidR="00393B71">
        <w:t>’</w:t>
      </w:r>
      <w:r w:rsidRPr="00A67F12">
        <w:t>intubazione endotracheale, la ventilazione assistita e la</w:t>
      </w:r>
      <w:r>
        <w:t xml:space="preserve"> </w:t>
      </w:r>
      <w:r w:rsidRPr="00A67F12">
        <w:t>somministrazione di antagonisti di oppiacei e di miorilassanti.</w:t>
      </w:r>
    </w:p>
    <w:p w14:paraId="15EAA7E4" w14:textId="77777777" w:rsidR="00C75B69" w:rsidRDefault="00C75B69" w:rsidP="00AD4B58">
      <w:pPr>
        <w:suppressAutoHyphens/>
      </w:pPr>
    </w:p>
    <w:p w14:paraId="6637A001" w14:textId="77777777" w:rsidR="00A67F12" w:rsidRDefault="00A3368A" w:rsidP="00AD4B58">
      <w:pPr>
        <w:suppressAutoHyphens/>
      </w:pPr>
      <w:r>
        <w:t xml:space="preserve">In caso di sovradosaggio di </w:t>
      </w:r>
      <w:proofErr w:type="spellStart"/>
      <w:r>
        <w:t>fentanil</w:t>
      </w:r>
      <w:proofErr w:type="spellEnd"/>
      <w:r>
        <w:t xml:space="preserve"> sono stati osservati episodi di respiro di Cheyne-Stokes, specialmente nei pazienti con anamnesi positiva per insufficienza cardiaca.</w:t>
      </w:r>
    </w:p>
    <w:p w14:paraId="7F023FD2" w14:textId="77777777" w:rsidR="00A3368A" w:rsidRDefault="00A3368A" w:rsidP="00AD4B58">
      <w:pPr>
        <w:suppressAutoHyphens/>
      </w:pPr>
    </w:p>
    <w:p w14:paraId="145745FD" w14:textId="77777777" w:rsidR="00A3368A" w:rsidRPr="00804996" w:rsidRDefault="00A3368A" w:rsidP="00AD4B58">
      <w:pPr>
        <w:suppressAutoHyphens/>
      </w:pPr>
    </w:p>
    <w:p w14:paraId="7324C78F" w14:textId="77777777" w:rsidR="00C75B69" w:rsidRPr="00804996" w:rsidRDefault="00B46DB0" w:rsidP="00AD4B58">
      <w:pPr>
        <w:suppressAutoHyphens/>
        <w:ind w:left="567" w:hanging="567"/>
      </w:pPr>
      <w:r w:rsidRPr="00804996">
        <w:rPr>
          <w:b/>
        </w:rPr>
        <w:t>5.</w:t>
      </w:r>
      <w:r w:rsidRPr="00804996">
        <w:rPr>
          <w:b/>
        </w:rPr>
        <w:tab/>
        <w:t>PROPRIETÀ FARMACOLOGICHE</w:t>
      </w:r>
    </w:p>
    <w:p w14:paraId="6508B22E" w14:textId="77777777" w:rsidR="00C75B69" w:rsidRPr="00804996" w:rsidRDefault="00C75B69" w:rsidP="00AD4B58">
      <w:pPr>
        <w:suppressAutoHyphens/>
      </w:pPr>
    </w:p>
    <w:p w14:paraId="19A88B05" w14:textId="77777777" w:rsidR="00C75B69" w:rsidRPr="003365EB" w:rsidRDefault="00B46DB0" w:rsidP="003365EB">
      <w:pPr>
        <w:suppressAutoHyphens/>
        <w:ind w:left="567" w:hanging="567"/>
      </w:pPr>
      <w:r w:rsidRPr="00804996">
        <w:rPr>
          <w:b/>
        </w:rPr>
        <w:t>5.1</w:t>
      </w:r>
      <w:r w:rsidRPr="00804996">
        <w:rPr>
          <w:b/>
        </w:rPr>
        <w:tab/>
        <w:t>Proprietà farmacodinamiche</w:t>
      </w:r>
    </w:p>
    <w:p w14:paraId="71E9FF67" w14:textId="77777777" w:rsidR="00997B4C" w:rsidRDefault="00997B4C" w:rsidP="00AD4B58">
      <w:pPr>
        <w:suppressAutoHyphens/>
      </w:pPr>
    </w:p>
    <w:p w14:paraId="38F80249" w14:textId="77777777" w:rsidR="003365EB" w:rsidRDefault="003365EB" w:rsidP="003365EB">
      <w:pPr>
        <w:suppressAutoHyphens/>
      </w:pPr>
      <w:r>
        <w:t xml:space="preserve">Categoria </w:t>
      </w:r>
      <w:proofErr w:type="spellStart"/>
      <w:r>
        <w:t>farmacoterapeutica</w:t>
      </w:r>
      <w:proofErr w:type="spellEnd"/>
      <w:r>
        <w:t xml:space="preserve">: analgesici, oppiacei; derivati della </w:t>
      </w:r>
      <w:proofErr w:type="spellStart"/>
      <w:r>
        <w:t>fenilpiperidina</w:t>
      </w:r>
      <w:proofErr w:type="spellEnd"/>
      <w:r>
        <w:t>. Codice ATC:</w:t>
      </w:r>
    </w:p>
    <w:p w14:paraId="1D7C8BB4" w14:textId="77777777" w:rsidR="003365EB" w:rsidRDefault="003365EB" w:rsidP="003365EB">
      <w:pPr>
        <w:suppressAutoHyphens/>
      </w:pPr>
      <w:r>
        <w:t>N02AB03</w:t>
      </w:r>
    </w:p>
    <w:p w14:paraId="4E08426B" w14:textId="77777777" w:rsidR="003365EB" w:rsidRDefault="003365EB" w:rsidP="003365EB">
      <w:pPr>
        <w:suppressAutoHyphens/>
      </w:pPr>
    </w:p>
    <w:p w14:paraId="2DE8EE65" w14:textId="77777777" w:rsidR="003365EB" w:rsidRDefault="003365EB" w:rsidP="00393B71">
      <w:pPr>
        <w:suppressAutoHyphens/>
      </w:pPr>
      <w:r>
        <w:lastRenderedPageBreak/>
        <w:t xml:space="preserve">Il </w:t>
      </w:r>
      <w:proofErr w:type="spellStart"/>
      <w:r>
        <w:t>fentanil</w:t>
      </w:r>
      <w:proofErr w:type="spellEnd"/>
      <w:r>
        <w:t xml:space="preserve"> è un potente analgesico μ-oppiaceo, con rapida insorgenza di analgesia e breve durata d</w:t>
      </w:r>
      <w:r w:rsidR="00393B71">
        <w:t>’</w:t>
      </w:r>
      <w:r>
        <w:t xml:space="preserve">azione. Come analgesico, il </w:t>
      </w:r>
      <w:proofErr w:type="spellStart"/>
      <w:r>
        <w:t>fentanil</w:t>
      </w:r>
      <w:proofErr w:type="spellEnd"/>
      <w:r>
        <w:t xml:space="preserve"> è all</w:t>
      </w:r>
      <w:r w:rsidR="00393B71">
        <w:t>’</w:t>
      </w:r>
      <w:r>
        <w:t>incirca 100 volte più potente della morfina. Gli effetti</w:t>
      </w:r>
      <w:r w:rsidR="0056170E">
        <w:t xml:space="preserve"> </w:t>
      </w:r>
      <w:r>
        <w:t xml:space="preserve">secondari del </w:t>
      </w:r>
      <w:proofErr w:type="spellStart"/>
      <w:r>
        <w:t>fentanil</w:t>
      </w:r>
      <w:proofErr w:type="spellEnd"/>
      <w:r>
        <w:t xml:space="preserve"> sul sistema nervoso centrale (SNC) e sulla funzione respiratoria e gastrointestinale</w:t>
      </w:r>
      <w:r w:rsidR="0056170E">
        <w:t xml:space="preserve"> </w:t>
      </w:r>
      <w:r>
        <w:t>sono tipici degli analgesici oppiacei e sono considerati effetti di classe. Questi possono</w:t>
      </w:r>
      <w:r w:rsidR="0056170E">
        <w:t xml:space="preserve"> </w:t>
      </w:r>
      <w:r>
        <w:t>includere depressione respiratoria, bradicardia, ipotermia, stipsi, miosi, dipendenza fisica ed euforia.</w:t>
      </w:r>
    </w:p>
    <w:p w14:paraId="5C0E6544" w14:textId="77777777" w:rsidR="0056170E" w:rsidRDefault="0056170E" w:rsidP="00393B71">
      <w:pPr>
        <w:suppressAutoHyphens/>
      </w:pPr>
    </w:p>
    <w:p w14:paraId="2F4FD3F8" w14:textId="7809BF8D" w:rsidR="0056170E" w:rsidRDefault="003365EB" w:rsidP="00393B71">
      <w:pPr>
        <w:suppressAutoHyphens/>
        <w:rPr>
          <w:szCs w:val="22"/>
        </w:rPr>
      </w:pPr>
      <w:r>
        <w:t xml:space="preserve">Gli effetti analgesici del </w:t>
      </w:r>
      <w:proofErr w:type="spellStart"/>
      <w:r>
        <w:t>fentanil</w:t>
      </w:r>
      <w:proofErr w:type="spellEnd"/>
      <w:r>
        <w:t xml:space="preserve"> sono correlati ai livelli ematici della sostanza attiva; nei pazienti</w:t>
      </w:r>
      <w:r w:rsidR="0056170E">
        <w:t xml:space="preserve"> </w:t>
      </w:r>
      <w:r>
        <w:t xml:space="preserve">naïve agli oppiacei, minime concentrazioni sieriche analgesiche efficaci di </w:t>
      </w:r>
      <w:proofErr w:type="spellStart"/>
      <w:r>
        <w:t>fentanil</w:t>
      </w:r>
      <w:proofErr w:type="spellEnd"/>
      <w:r>
        <w:t xml:space="preserve"> sono comprese tra</w:t>
      </w:r>
      <w:r w:rsidR="0056170E">
        <w:t xml:space="preserve"> </w:t>
      </w:r>
      <w:r w:rsidR="0056170E" w:rsidRPr="0056170E">
        <w:rPr>
          <w:szCs w:val="22"/>
        </w:rPr>
        <w:t>0,3 e 1,2</w:t>
      </w:r>
      <w:r w:rsidR="00BD0FAC">
        <w:rPr>
          <w:szCs w:val="22"/>
        </w:rPr>
        <w:t> </w:t>
      </w:r>
      <w:proofErr w:type="spellStart"/>
      <w:r w:rsidR="0056170E" w:rsidRPr="0056170E">
        <w:rPr>
          <w:szCs w:val="22"/>
        </w:rPr>
        <w:t>ng</w:t>
      </w:r>
      <w:proofErr w:type="spellEnd"/>
      <w:r w:rsidR="0056170E" w:rsidRPr="0056170E">
        <w:rPr>
          <w:szCs w:val="22"/>
        </w:rPr>
        <w:t>/ml, mentre i livelli nel sangue di 10</w:t>
      </w:r>
      <w:r w:rsidR="00BD0FAC">
        <w:rPr>
          <w:szCs w:val="22"/>
        </w:rPr>
        <w:noBreakHyphen/>
      </w:r>
      <w:r w:rsidR="0056170E" w:rsidRPr="0056170E">
        <w:rPr>
          <w:szCs w:val="22"/>
        </w:rPr>
        <w:t>20</w:t>
      </w:r>
      <w:r w:rsidR="00BD0FAC">
        <w:rPr>
          <w:szCs w:val="22"/>
        </w:rPr>
        <w:t> </w:t>
      </w:r>
      <w:proofErr w:type="spellStart"/>
      <w:r w:rsidR="0056170E" w:rsidRPr="0056170E">
        <w:rPr>
          <w:szCs w:val="22"/>
        </w:rPr>
        <w:t>ng</w:t>
      </w:r>
      <w:proofErr w:type="spellEnd"/>
      <w:r w:rsidR="0056170E" w:rsidRPr="0056170E">
        <w:rPr>
          <w:szCs w:val="22"/>
        </w:rPr>
        <w:t>/ml producono anestesia chirurgica e profonda</w:t>
      </w:r>
      <w:r w:rsidR="0056170E">
        <w:t xml:space="preserve"> </w:t>
      </w:r>
      <w:r w:rsidR="0056170E" w:rsidRPr="0056170E">
        <w:rPr>
          <w:szCs w:val="22"/>
        </w:rPr>
        <w:t>depressione respiratoria.</w:t>
      </w:r>
    </w:p>
    <w:p w14:paraId="2483AB02" w14:textId="77777777" w:rsidR="0056170E" w:rsidRPr="0056170E" w:rsidRDefault="0056170E" w:rsidP="00393B71">
      <w:pPr>
        <w:suppressAutoHyphens/>
      </w:pPr>
    </w:p>
    <w:p w14:paraId="6A44445D" w14:textId="29068494" w:rsidR="0056170E" w:rsidRPr="0056170E" w:rsidRDefault="0056170E" w:rsidP="00393B71">
      <w:pPr>
        <w:autoSpaceDE w:val="0"/>
        <w:autoSpaceDN w:val="0"/>
        <w:adjustRightInd w:val="0"/>
        <w:jc w:val="both"/>
        <w:rPr>
          <w:szCs w:val="22"/>
        </w:rPr>
      </w:pPr>
      <w:r w:rsidRPr="0056170E">
        <w:rPr>
          <w:szCs w:val="22"/>
        </w:rPr>
        <w:t>In pazienti con dolore cronico da cancro che assumono dosi di mantenimento stabili di oppiacei, è</w:t>
      </w:r>
      <w:r>
        <w:rPr>
          <w:szCs w:val="22"/>
        </w:rPr>
        <w:t xml:space="preserve"> </w:t>
      </w:r>
      <w:r w:rsidRPr="0056170E">
        <w:rPr>
          <w:szCs w:val="22"/>
        </w:rPr>
        <w:t>stato evidenziato un miglioramento statisticamente significativo della differenza dell</w:t>
      </w:r>
      <w:r w:rsidR="00393B71">
        <w:rPr>
          <w:szCs w:val="22"/>
        </w:rPr>
        <w:t>’</w:t>
      </w:r>
      <w:r w:rsidRPr="0056170E">
        <w:rPr>
          <w:szCs w:val="22"/>
        </w:rPr>
        <w:t>intensità del</w:t>
      </w:r>
      <w:r>
        <w:rPr>
          <w:szCs w:val="22"/>
        </w:rPr>
        <w:t xml:space="preserve"> </w:t>
      </w:r>
      <w:r w:rsidRPr="0056170E">
        <w:rPr>
          <w:szCs w:val="22"/>
        </w:rPr>
        <w:t xml:space="preserve">dolore con </w:t>
      </w:r>
      <w:proofErr w:type="spellStart"/>
      <w:r>
        <w:rPr>
          <w:szCs w:val="22"/>
        </w:rPr>
        <w:t>Sublifen</w:t>
      </w:r>
      <w:proofErr w:type="spellEnd"/>
      <w:r w:rsidRPr="0056170E">
        <w:rPr>
          <w:szCs w:val="22"/>
        </w:rPr>
        <w:t xml:space="preserve"> rispetto a placebo, dopo 10</w:t>
      </w:r>
      <w:r w:rsidR="00BD0FAC">
        <w:rPr>
          <w:szCs w:val="22"/>
        </w:rPr>
        <w:t> </w:t>
      </w:r>
      <w:r w:rsidRPr="0056170E">
        <w:rPr>
          <w:szCs w:val="22"/>
        </w:rPr>
        <w:t>minuti dalla somministrazione in poi (vedere la figura 1</w:t>
      </w:r>
      <w:r>
        <w:rPr>
          <w:szCs w:val="22"/>
        </w:rPr>
        <w:t xml:space="preserve"> </w:t>
      </w:r>
      <w:r w:rsidRPr="0056170E">
        <w:rPr>
          <w:szCs w:val="22"/>
        </w:rPr>
        <w:t>riportata sotto), con necessità significativamente i</w:t>
      </w:r>
      <w:r>
        <w:rPr>
          <w:szCs w:val="22"/>
        </w:rPr>
        <w:t>nferiore di terapia analgesica “al bisogno”</w:t>
      </w:r>
      <w:r w:rsidRPr="0056170E">
        <w:rPr>
          <w:szCs w:val="22"/>
        </w:rPr>
        <w:t>.</w:t>
      </w:r>
    </w:p>
    <w:p w14:paraId="04939A7A" w14:textId="77777777" w:rsidR="003365EB" w:rsidRDefault="003365EB" w:rsidP="00393B71">
      <w:pPr>
        <w:autoSpaceDE w:val="0"/>
        <w:autoSpaceDN w:val="0"/>
        <w:adjustRightInd w:val="0"/>
        <w:jc w:val="both"/>
        <w:rPr>
          <w:szCs w:val="22"/>
        </w:rPr>
      </w:pPr>
    </w:p>
    <w:p w14:paraId="2D99DC30" w14:textId="77777777" w:rsidR="003365EB" w:rsidRPr="00902190" w:rsidRDefault="00902190" w:rsidP="00393B71">
      <w:pPr>
        <w:autoSpaceDE w:val="0"/>
        <w:autoSpaceDN w:val="0"/>
        <w:adjustRightInd w:val="0"/>
        <w:jc w:val="both"/>
        <w:rPr>
          <w:i/>
          <w:szCs w:val="22"/>
        </w:rPr>
      </w:pPr>
      <w:r w:rsidRPr="00902190">
        <w:rPr>
          <w:i/>
          <w:szCs w:val="22"/>
        </w:rPr>
        <w:t>Figura 1 Differenza media dell</w:t>
      </w:r>
      <w:r w:rsidR="00393B71">
        <w:rPr>
          <w:i/>
          <w:szCs w:val="22"/>
        </w:rPr>
        <w:t>’</w:t>
      </w:r>
      <w:r w:rsidRPr="00902190">
        <w:rPr>
          <w:i/>
          <w:szCs w:val="22"/>
        </w:rPr>
        <w:t xml:space="preserve">intensità del dolore rispetto al basale (± SE) per </w:t>
      </w:r>
      <w:proofErr w:type="spellStart"/>
      <w:r w:rsidRPr="00902190">
        <w:rPr>
          <w:i/>
          <w:szCs w:val="22"/>
        </w:rPr>
        <w:t>Sublifen</w:t>
      </w:r>
      <w:proofErr w:type="spellEnd"/>
      <w:r w:rsidRPr="00902190">
        <w:rPr>
          <w:i/>
          <w:szCs w:val="22"/>
        </w:rPr>
        <w:t xml:space="preserve"> rispetto al placebo (misurato da 0 a 10 nella scala di </w:t>
      </w:r>
      <w:proofErr w:type="spellStart"/>
      <w:r w:rsidRPr="00902190">
        <w:rPr>
          <w:i/>
          <w:szCs w:val="22"/>
        </w:rPr>
        <w:t>Likert</w:t>
      </w:r>
      <w:proofErr w:type="spellEnd"/>
      <w:r w:rsidRPr="00902190">
        <w:rPr>
          <w:i/>
          <w:szCs w:val="22"/>
        </w:rPr>
        <w:t>)</w:t>
      </w:r>
    </w:p>
    <w:p w14:paraId="02A0FB2D" w14:textId="77777777" w:rsidR="0078308F" w:rsidRDefault="0078308F" w:rsidP="00AD4B58">
      <w:pPr>
        <w:autoSpaceDE w:val="0"/>
        <w:autoSpaceDN w:val="0"/>
        <w:adjustRightInd w:val="0"/>
        <w:jc w:val="both"/>
        <w:rPr>
          <w:szCs w:val="22"/>
        </w:rPr>
      </w:pPr>
      <w:r w:rsidRPr="0078308F">
        <w:rPr>
          <w:noProof/>
          <w:szCs w:val="22"/>
          <w:lang w:eastAsia="it-IT"/>
        </w:rPr>
        <w:drawing>
          <wp:anchor distT="0" distB="0" distL="114300" distR="114300" simplePos="0" relativeHeight="251685888" behindDoc="0" locked="0" layoutInCell="1" allowOverlap="1" wp14:anchorId="227F333F" wp14:editId="04DDC7EA">
            <wp:simplePos x="0" y="0"/>
            <wp:positionH relativeFrom="column">
              <wp:posOffset>2998572</wp:posOffset>
            </wp:positionH>
            <wp:positionV relativeFrom="paragraph">
              <wp:posOffset>1552677</wp:posOffset>
            </wp:positionV>
            <wp:extent cx="636422" cy="152742"/>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61" cy="1636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lang w:eastAsia="it-IT"/>
        </w:rPr>
        <w:drawing>
          <wp:inline distT="0" distB="0" distL="0" distR="0" wp14:anchorId="4B4B0F2F" wp14:editId="19925A3D">
            <wp:extent cx="4400202" cy="2399385"/>
            <wp:effectExtent l="0" t="0" r="635"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534" cy="2405019"/>
                    </a:xfrm>
                    <a:prstGeom prst="rect">
                      <a:avLst/>
                    </a:prstGeom>
                    <a:noFill/>
                    <a:ln>
                      <a:noFill/>
                    </a:ln>
                  </pic:spPr>
                </pic:pic>
              </a:graphicData>
            </a:graphic>
          </wp:inline>
        </w:drawing>
      </w:r>
    </w:p>
    <w:p w14:paraId="74D0A9BD" w14:textId="2699B31C" w:rsidR="0078308F" w:rsidRDefault="0078308F" w:rsidP="00534783">
      <w:pPr>
        <w:autoSpaceDE w:val="0"/>
        <w:autoSpaceDN w:val="0"/>
        <w:adjustRightInd w:val="0"/>
        <w:rPr>
          <w:szCs w:val="22"/>
        </w:rPr>
      </w:pPr>
      <w:r w:rsidRPr="0078308F">
        <w:rPr>
          <w:szCs w:val="22"/>
        </w:rPr>
        <w:t>La sicurezza e l</w:t>
      </w:r>
      <w:r w:rsidR="00393B71">
        <w:rPr>
          <w:szCs w:val="22"/>
        </w:rPr>
        <w:t>’</w:t>
      </w:r>
      <w:r w:rsidRPr="0078308F">
        <w:rPr>
          <w:szCs w:val="22"/>
        </w:rPr>
        <w:t xml:space="preserve">efficacia di </w:t>
      </w:r>
      <w:proofErr w:type="spellStart"/>
      <w:r w:rsidR="00534783">
        <w:rPr>
          <w:szCs w:val="22"/>
        </w:rPr>
        <w:t>Sublfen</w:t>
      </w:r>
      <w:proofErr w:type="spellEnd"/>
      <w:r w:rsidR="00534783">
        <w:rPr>
          <w:szCs w:val="22"/>
        </w:rPr>
        <w:t xml:space="preserve"> </w:t>
      </w:r>
      <w:r w:rsidRPr="0078308F">
        <w:rPr>
          <w:szCs w:val="22"/>
        </w:rPr>
        <w:t>sono state valutate in pazienti che assumevano il farmaco all</w:t>
      </w:r>
      <w:r w:rsidR="00393B71">
        <w:rPr>
          <w:szCs w:val="22"/>
        </w:rPr>
        <w:t>’</w:t>
      </w:r>
      <w:r w:rsidRPr="0078308F">
        <w:rPr>
          <w:szCs w:val="22"/>
        </w:rPr>
        <w:t>insorgenza del dolore episodico</w:t>
      </w:r>
      <w:r w:rsidR="00534783">
        <w:rPr>
          <w:szCs w:val="22"/>
        </w:rPr>
        <w:t xml:space="preserve"> </w:t>
      </w:r>
      <w:r w:rsidRPr="0078308F">
        <w:rPr>
          <w:szCs w:val="22"/>
        </w:rPr>
        <w:t xml:space="preserve">intenso. Un uso preventivo di </w:t>
      </w:r>
      <w:proofErr w:type="spellStart"/>
      <w:r w:rsidR="00534783">
        <w:rPr>
          <w:szCs w:val="22"/>
        </w:rPr>
        <w:t>Subl</w:t>
      </w:r>
      <w:r w:rsidR="004C2E10">
        <w:rPr>
          <w:szCs w:val="22"/>
        </w:rPr>
        <w:t>i</w:t>
      </w:r>
      <w:r w:rsidR="00534783">
        <w:rPr>
          <w:szCs w:val="22"/>
        </w:rPr>
        <w:t>fen</w:t>
      </w:r>
      <w:proofErr w:type="spellEnd"/>
      <w:r w:rsidR="00534783">
        <w:rPr>
          <w:szCs w:val="22"/>
        </w:rPr>
        <w:t xml:space="preserve"> </w:t>
      </w:r>
      <w:r w:rsidRPr="0078308F">
        <w:rPr>
          <w:szCs w:val="22"/>
        </w:rPr>
        <w:t xml:space="preserve">per prevenire episodi di dolore prevedibili non è stato </w:t>
      </w:r>
      <w:r w:rsidR="00493A7D" w:rsidRPr="0078308F">
        <w:rPr>
          <w:szCs w:val="22"/>
        </w:rPr>
        <w:t>valutato</w:t>
      </w:r>
      <w:r w:rsidRPr="0078308F">
        <w:rPr>
          <w:szCs w:val="22"/>
        </w:rPr>
        <w:t xml:space="preserve"> negli studi clinici.</w:t>
      </w:r>
    </w:p>
    <w:p w14:paraId="040CA0F1" w14:textId="77777777" w:rsidR="00534783" w:rsidRPr="0078308F" w:rsidRDefault="00534783" w:rsidP="00534783">
      <w:pPr>
        <w:autoSpaceDE w:val="0"/>
        <w:autoSpaceDN w:val="0"/>
        <w:adjustRightInd w:val="0"/>
        <w:rPr>
          <w:szCs w:val="22"/>
        </w:rPr>
      </w:pPr>
    </w:p>
    <w:p w14:paraId="7386E988" w14:textId="71790406" w:rsidR="003365EB" w:rsidRDefault="0078308F" w:rsidP="00534783">
      <w:pPr>
        <w:autoSpaceDE w:val="0"/>
        <w:autoSpaceDN w:val="0"/>
        <w:adjustRightInd w:val="0"/>
        <w:rPr>
          <w:szCs w:val="22"/>
        </w:rPr>
      </w:pPr>
      <w:r w:rsidRPr="0078308F">
        <w:rPr>
          <w:szCs w:val="22"/>
        </w:rPr>
        <w:t xml:space="preserve">Il </w:t>
      </w:r>
      <w:proofErr w:type="spellStart"/>
      <w:r w:rsidRPr="0078308F">
        <w:rPr>
          <w:szCs w:val="22"/>
        </w:rPr>
        <w:t>fentanil</w:t>
      </w:r>
      <w:proofErr w:type="spellEnd"/>
      <w:r w:rsidRPr="0078308F">
        <w:rPr>
          <w:szCs w:val="22"/>
        </w:rPr>
        <w:t>, come tutti gli agonisti del recettore μ degli oppiacei, produce depressione respiratoria dose dipendente. Questo rischio è</w:t>
      </w:r>
      <w:r w:rsidR="00534783">
        <w:rPr>
          <w:szCs w:val="22"/>
        </w:rPr>
        <w:t xml:space="preserve"> </w:t>
      </w:r>
      <w:r w:rsidRPr="0078308F">
        <w:rPr>
          <w:szCs w:val="22"/>
        </w:rPr>
        <w:t xml:space="preserve">maggiore nei soggetti naïve agli oppiacei </w:t>
      </w:r>
      <w:r w:rsidR="00493A7D">
        <w:rPr>
          <w:szCs w:val="22"/>
        </w:rPr>
        <w:t>rispetto ai</w:t>
      </w:r>
      <w:r w:rsidRPr="0078308F">
        <w:rPr>
          <w:szCs w:val="22"/>
        </w:rPr>
        <w:t xml:space="preserve"> pazienti che hanno avuto dolore</w:t>
      </w:r>
      <w:r w:rsidR="009D4346">
        <w:rPr>
          <w:szCs w:val="22"/>
        </w:rPr>
        <w:t xml:space="preserve"> severo</w:t>
      </w:r>
      <w:r w:rsidRPr="0078308F">
        <w:rPr>
          <w:szCs w:val="22"/>
        </w:rPr>
        <w:t xml:space="preserve"> o che ricevono terapia cronica a base di</w:t>
      </w:r>
      <w:r w:rsidR="00534783">
        <w:rPr>
          <w:szCs w:val="22"/>
        </w:rPr>
        <w:t xml:space="preserve"> </w:t>
      </w:r>
      <w:r w:rsidRPr="0078308F">
        <w:rPr>
          <w:szCs w:val="22"/>
        </w:rPr>
        <w:t>oppiacei. Il trattamento a lungo termine con oppiacei di solito causa assuefazione ai loro effetti secondari.</w:t>
      </w:r>
    </w:p>
    <w:p w14:paraId="19B9F826" w14:textId="77777777" w:rsidR="003365EB" w:rsidRDefault="003365EB" w:rsidP="00534783">
      <w:pPr>
        <w:autoSpaceDE w:val="0"/>
        <w:autoSpaceDN w:val="0"/>
        <w:adjustRightInd w:val="0"/>
        <w:rPr>
          <w:szCs w:val="22"/>
        </w:rPr>
      </w:pPr>
    </w:p>
    <w:p w14:paraId="0E719975" w14:textId="4A9C45A0" w:rsidR="0078308F" w:rsidRDefault="0078308F" w:rsidP="00534783">
      <w:pPr>
        <w:autoSpaceDE w:val="0"/>
        <w:autoSpaceDN w:val="0"/>
        <w:adjustRightInd w:val="0"/>
        <w:rPr>
          <w:szCs w:val="22"/>
        </w:rPr>
      </w:pPr>
      <w:r w:rsidRPr="0078308F">
        <w:rPr>
          <w:szCs w:val="22"/>
        </w:rPr>
        <w:t>Mentre gli oppiacei in genere aumentano il tono della muscolatura liscia del tratto urinario, l</w:t>
      </w:r>
      <w:r w:rsidR="00393B71">
        <w:rPr>
          <w:szCs w:val="22"/>
        </w:rPr>
        <w:t>’</w:t>
      </w:r>
      <w:r w:rsidRPr="0078308F">
        <w:rPr>
          <w:szCs w:val="22"/>
        </w:rPr>
        <w:t xml:space="preserve">effetto finale tende ad essere </w:t>
      </w:r>
      <w:r w:rsidR="00534783" w:rsidRPr="0078308F">
        <w:rPr>
          <w:szCs w:val="22"/>
        </w:rPr>
        <w:t xml:space="preserve">variabile, </w:t>
      </w:r>
      <w:r w:rsidR="00B56095" w:rsidRPr="0078308F">
        <w:rPr>
          <w:szCs w:val="22"/>
        </w:rPr>
        <w:t xml:space="preserve">producendo </w:t>
      </w:r>
      <w:r w:rsidR="00534783" w:rsidRPr="0078308F">
        <w:rPr>
          <w:szCs w:val="22"/>
        </w:rPr>
        <w:t>in</w:t>
      </w:r>
      <w:r w:rsidRPr="0078308F">
        <w:rPr>
          <w:szCs w:val="22"/>
        </w:rPr>
        <w:t xml:space="preserve"> alcuni casi urgenza minzionale, in altri, difficoltà di minzione.</w:t>
      </w:r>
    </w:p>
    <w:p w14:paraId="3718D434" w14:textId="77777777" w:rsidR="00534783" w:rsidRPr="0078308F" w:rsidRDefault="00534783" w:rsidP="00534783">
      <w:pPr>
        <w:autoSpaceDE w:val="0"/>
        <w:autoSpaceDN w:val="0"/>
        <w:adjustRightInd w:val="0"/>
        <w:rPr>
          <w:szCs w:val="22"/>
        </w:rPr>
      </w:pPr>
    </w:p>
    <w:p w14:paraId="4E91994B" w14:textId="77777777" w:rsidR="003365EB" w:rsidRDefault="0078308F" w:rsidP="00534783">
      <w:pPr>
        <w:autoSpaceDE w:val="0"/>
        <w:autoSpaceDN w:val="0"/>
        <w:adjustRightInd w:val="0"/>
        <w:rPr>
          <w:szCs w:val="22"/>
        </w:rPr>
      </w:pPr>
      <w:r w:rsidRPr="0078308F">
        <w:rPr>
          <w:szCs w:val="22"/>
        </w:rPr>
        <w:t xml:space="preserve">Gli oppiacei aumentano il tono e riducono le contrazioni propulsive della muscolatura liscia del tratto gastrointestinale, causando </w:t>
      </w:r>
      <w:r w:rsidR="00534783" w:rsidRPr="0078308F">
        <w:rPr>
          <w:szCs w:val="22"/>
        </w:rPr>
        <w:t>il prolungamento</w:t>
      </w:r>
      <w:r w:rsidRPr="0078308F">
        <w:rPr>
          <w:szCs w:val="22"/>
        </w:rPr>
        <w:t xml:space="preserve"> del tempo di transito gastrointestinale, la qual cosa può essere alla base dell</w:t>
      </w:r>
      <w:r w:rsidR="00393B71">
        <w:rPr>
          <w:szCs w:val="22"/>
        </w:rPr>
        <w:t>’</w:t>
      </w:r>
      <w:r w:rsidRPr="0078308F">
        <w:rPr>
          <w:szCs w:val="22"/>
        </w:rPr>
        <w:t xml:space="preserve">effetto costipante del </w:t>
      </w:r>
      <w:proofErr w:type="spellStart"/>
      <w:r w:rsidRPr="0078308F">
        <w:rPr>
          <w:szCs w:val="22"/>
        </w:rPr>
        <w:t>fentanil</w:t>
      </w:r>
      <w:proofErr w:type="spellEnd"/>
      <w:r w:rsidRPr="0078308F">
        <w:rPr>
          <w:szCs w:val="22"/>
        </w:rPr>
        <w:t>.</w:t>
      </w:r>
    </w:p>
    <w:p w14:paraId="42B2BA3F" w14:textId="77777777" w:rsidR="00534783" w:rsidRDefault="00534783" w:rsidP="00534783">
      <w:pPr>
        <w:autoSpaceDE w:val="0"/>
        <w:autoSpaceDN w:val="0"/>
        <w:adjustRightInd w:val="0"/>
        <w:rPr>
          <w:szCs w:val="22"/>
        </w:rPr>
      </w:pPr>
    </w:p>
    <w:p w14:paraId="5D9FE138" w14:textId="007644BC" w:rsidR="00534783" w:rsidRDefault="00534783" w:rsidP="00534783">
      <w:pPr>
        <w:autoSpaceDE w:val="0"/>
        <w:autoSpaceDN w:val="0"/>
        <w:adjustRightInd w:val="0"/>
        <w:rPr>
          <w:szCs w:val="22"/>
        </w:rPr>
      </w:pPr>
      <w:r>
        <w:t xml:space="preserve">Gli oppioidi possono influenzare </w:t>
      </w:r>
      <w:r w:rsidR="00733873">
        <w:t xml:space="preserve">gli assi </w:t>
      </w:r>
      <w:r>
        <w:t xml:space="preserve">ipotalamo-ipofisi-surrene o gonadi. </w:t>
      </w:r>
      <w:r w:rsidR="00733873">
        <w:t>Alcune</w:t>
      </w:r>
      <w:r>
        <w:t xml:space="preserve"> alterazioni </w:t>
      </w:r>
      <w:r w:rsidR="00733873">
        <w:t xml:space="preserve">osservabili comprendono </w:t>
      </w:r>
      <w:r>
        <w:t xml:space="preserve">un aumento della prolattina sierica e </w:t>
      </w:r>
      <w:r w:rsidR="00733873">
        <w:t xml:space="preserve">diminuzioni di </w:t>
      </w:r>
      <w:r>
        <w:t xml:space="preserve">cortisolo e testosterone </w:t>
      </w:r>
      <w:r w:rsidR="00733873">
        <w:t>nel plasma</w:t>
      </w:r>
      <w:r>
        <w:t xml:space="preserve">. </w:t>
      </w:r>
      <w:r w:rsidR="00733873">
        <w:t>Da q</w:t>
      </w:r>
      <w:r>
        <w:t xml:space="preserve">ueste alterazioni ormonali possono </w:t>
      </w:r>
      <w:r w:rsidR="00733873">
        <w:t>manifestarsi</w:t>
      </w:r>
      <w:r>
        <w:t xml:space="preserve"> segni e sintomi clinici.</w:t>
      </w:r>
    </w:p>
    <w:p w14:paraId="5990157B" w14:textId="77777777" w:rsidR="006710B0" w:rsidRPr="00804996" w:rsidRDefault="006710B0" w:rsidP="00AD4B58">
      <w:pPr>
        <w:suppressAutoHyphens/>
      </w:pPr>
    </w:p>
    <w:p w14:paraId="0794FE5B" w14:textId="77777777" w:rsidR="00C75B69" w:rsidRPr="00804996" w:rsidRDefault="00B46DB0" w:rsidP="00AD4B58">
      <w:pPr>
        <w:suppressAutoHyphens/>
        <w:ind w:left="567" w:hanging="567"/>
        <w:rPr>
          <w:b/>
        </w:rPr>
      </w:pPr>
      <w:r w:rsidRPr="00804996">
        <w:rPr>
          <w:b/>
        </w:rPr>
        <w:t>5.2</w:t>
      </w:r>
      <w:r w:rsidRPr="00804996">
        <w:rPr>
          <w:b/>
        </w:rPr>
        <w:tab/>
        <w:t>Proprietà farmacocinetiche</w:t>
      </w:r>
    </w:p>
    <w:p w14:paraId="79EEA765" w14:textId="77777777" w:rsidR="00492918" w:rsidRPr="00804996" w:rsidRDefault="00492918" w:rsidP="00AD4B58">
      <w:pPr>
        <w:suppressAutoHyphens/>
        <w:ind w:left="567" w:hanging="567"/>
        <w:rPr>
          <w:b/>
        </w:rPr>
      </w:pPr>
    </w:p>
    <w:p w14:paraId="5398D2B0" w14:textId="77777777" w:rsidR="00F7234A" w:rsidRDefault="00B46DB0" w:rsidP="00D10BA1">
      <w:pPr>
        <w:rPr>
          <w:noProof/>
          <w:szCs w:val="24"/>
        </w:rPr>
      </w:pPr>
      <w:r w:rsidRPr="00804996">
        <w:rPr>
          <w:noProof/>
          <w:szCs w:val="24"/>
          <w:u w:val="single"/>
        </w:rPr>
        <w:lastRenderedPageBreak/>
        <w:t>Assorbimento</w:t>
      </w:r>
    </w:p>
    <w:p w14:paraId="28D793AA" w14:textId="77777777" w:rsidR="00F146E5" w:rsidRDefault="00F146E5" w:rsidP="00D10BA1">
      <w:pPr>
        <w:rPr>
          <w:noProof/>
          <w:szCs w:val="24"/>
        </w:rPr>
      </w:pPr>
      <w:r w:rsidRPr="00F146E5">
        <w:rPr>
          <w:noProof/>
          <w:szCs w:val="24"/>
        </w:rPr>
        <w:t>Il fentanil è un farmaco altamente lipofilico, assorbito molto rapidamente attraverso la mucosa orale e</w:t>
      </w:r>
      <w:r>
        <w:rPr>
          <w:noProof/>
          <w:szCs w:val="24"/>
        </w:rPr>
        <w:t xml:space="preserve"> </w:t>
      </w:r>
      <w:r w:rsidRPr="00F146E5">
        <w:rPr>
          <w:noProof/>
          <w:szCs w:val="24"/>
        </w:rPr>
        <w:t>più lentamente attraverso il tratto gastrointestinale. Il fentanil somministrato per via orale comporta</w:t>
      </w:r>
      <w:r>
        <w:rPr>
          <w:noProof/>
          <w:szCs w:val="24"/>
        </w:rPr>
        <w:t xml:space="preserve"> </w:t>
      </w:r>
      <w:r w:rsidRPr="00F146E5">
        <w:rPr>
          <w:noProof/>
          <w:szCs w:val="24"/>
        </w:rPr>
        <w:t>pronunciati effetti di primo passaggio epatico e intestinale.</w:t>
      </w:r>
    </w:p>
    <w:p w14:paraId="71489F8C" w14:textId="77777777" w:rsidR="00F146E5" w:rsidRPr="00804996" w:rsidRDefault="00F146E5" w:rsidP="00D10BA1">
      <w:pPr>
        <w:rPr>
          <w:szCs w:val="24"/>
        </w:rPr>
      </w:pPr>
    </w:p>
    <w:p w14:paraId="0A1D9FF2" w14:textId="77777777" w:rsidR="00F7234A" w:rsidRDefault="00B46DB0" w:rsidP="00D10BA1">
      <w:pPr>
        <w:rPr>
          <w:noProof/>
          <w:szCs w:val="24"/>
          <w:u w:val="single"/>
        </w:rPr>
      </w:pPr>
      <w:r w:rsidRPr="00804996">
        <w:rPr>
          <w:noProof/>
          <w:szCs w:val="24"/>
          <w:u w:val="single"/>
        </w:rPr>
        <w:t>Distribuzione</w:t>
      </w:r>
    </w:p>
    <w:p w14:paraId="2D8DB18D" w14:textId="6ECA16EB" w:rsidR="00F146E5" w:rsidRDefault="00F146E5" w:rsidP="00D10BA1">
      <w:pPr>
        <w:rPr>
          <w:noProof/>
          <w:szCs w:val="24"/>
        </w:rPr>
      </w:pPr>
      <w:r>
        <w:rPr>
          <w:noProof/>
          <w:szCs w:val="24"/>
        </w:rPr>
        <w:t>Sublifen</w:t>
      </w:r>
      <w:r w:rsidRPr="00F146E5">
        <w:rPr>
          <w:noProof/>
          <w:szCs w:val="24"/>
        </w:rPr>
        <w:t xml:space="preserve"> è una formulazione in compresse sublinguali a rapido dissolvimento. Il rapido assorbimento</w:t>
      </w:r>
      <w:r>
        <w:rPr>
          <w:noProof/>
          <w:szCs w:val="24"/>
        </w:rPr>
        <w:t xml:space="preserve"> </w:t>
      </w:r>
      <w:r w:rsidRPr="00F146E5">
        <w:rPr>
          <w:noProof/>
          <w:szCs w:val="24"/>
        </w:rPr>
        <w:t>del fentanil si verifica nell</w:t>
      </w:r>
      <w:r w:rsidR="00393B71">
        <w:rPr>
          <w:noProof/>
          <w:szCs w:val="24"/>
        </w:rPr>
        <w:t>’</w:t>
      </w:r>
      <w:r w:rsidRPr="00F146E5">
        <w:rPr>
          <w:noProof/>
          <w:szCs w:val="24"/>
        </w:rPr>
        <w:t>arco di circa 30</w:t>
      </w:r>
      <w:r w:rsidR="00EE23DD">
        <w:rPr>
          <w:noProof/>
          <w:szCs w:val="24"/>
        </w:rPr>
        <w:t> </w:t>
      </w:r>
      <w:r w:rsidRPr="00F146E5">
        <w:rPr>
          <w:noProof/>
          <w:szCs w:val="24"/>
        </w:rPr>
        <w:t xml:space="preserve">minuti dalla somministrazione di </w:t>
      </w:r>
      <w:r>
        <w:rPr>
          <w:noProof/>
          <w:szCs w:val="24"/>
        </w:rPr>
        <w:t>Sublifen</w:t>
      </w:r>
      <w:r w:rsidRPr="00F146E5">
        <w:rPr>
          <w:noProof/>
          <w:szCs w:val="24"/>
        </w:rPr>
        <w:t>. La</w:t>
      </w:r>
      <w:r>
        <w:rPr>
          <w:noProof/>
          <w:szCs w:val="24"/>
        </w:rPr>
        <w:t xml:space="preserve"> </w:t>
      </w:r>
      <w:r w:rsidRPr="00F146E5">
        <w:rPr>
          <w:noProof/>
          <w:szCs w:val="24"/>
        </w:rPr>
        <w:t xml:space="preserve">biodisponibilità assoluta di </w:t>
      </w:r>
      <w:r>
        <w:rPr>
          <w:noProof/>
          <w:szCs w:val="24"/>
        </w:rPr>
        <w:t>Sublifen</w:t>
      </w:r>
      <w:r w:rsidRPr="00F146E5">
        <w:rPr>
          <w:noProof/>
          <w:szCs w:val="24"/>
        </w:rPr>
        <w:t xml:space="preserve"> è risultata del 54%. Le concentrazioni plasmatiche massime medie</w:t>
      </w:r>
      <w:r>
        <w:rPr>
          <w:noProof/>
          <w:szCs w:val="24"/>
        </w:rPr>
        <w:t xml:space="preserve"> </w:t>
      </w:r>
      <w:r w:rsidRPr="00F146E5">
        <w:rPr>
          <w:noProof/>
          <w:szCs w:val="24"/>
        </w:rPr>
        <w:t>del fentanil vanno da 0,2 a 1,3</w:t>
      </w:r>
      <w:r w:rsidR="00EE23DD">
        <w:rPr>
          <w:noProof/>
          <w:szCs w:val="24"/>
        </w:rPr>
        <w:t> </w:t>
      </w:r>
      <w:r w:rsidRPr="00F146E5">
        <w:rPr>
          <w:noProof/>
          <w:szCs w:val="24"/>
        </w:rPr>
        <w:t>ng/ml (dopo la somministrazione di 100</w:t>
      </w:r>
      <w:r w:rsidR="00EE23DD">
        <w:rPr>
          <w:noProof/>
          <w:szCs w:val="24"/>
        </w:rPr>
        <w:noBreakHyphen/>
      </w:r>
      <w:r w:rsidRPr="00F146E5">
        <w:rPr>
          <w:noProof/>
          <w:szCs w:val="24"/>
        </w:rPr>
        <w:t>800</w:t>
      </w:r>
      <w:r w:rsidR="00EE23DD">
        <w:rPr>
          <w:noProof/>
          <w:szCs w:val="24"/>
        </w:rPr>
        <w:t> </w:t>
      </w:r>
      <w:r w:rsidRPr="00F146E5">
        <w:rPr>
          <w:noProof/>
          <w:szCs w:val="24"/>
        </w:rPr>
        <w:t xml:space="preserve">μg di </w:t>
      </w:r>
      <w:r>
        <w:rPr>
          <w:noProof/>
          <w:szCs w:val="24"/>
        </w:rPr>
        <w:t>Sublifen</w:t>
      </w:r>
      <w:r w:rsidRPr="00F146E5">
        <w:rPr>
          <w:noProof/>
          <w:szCs w:val="24"/>
        </w:rPr>
        <w:t>) e si</w:t>
      </w:r>
      <w:r>
        <w:rPr>
          <w:noProof/>
          <w:szCs w:val="24"/>
        </w:rPr>
        <w:t xml:space="preserve"> </w:t>
      </w:r>
      <w:r w:rsidRPr="00F146E5">
        <w:rPr>
          <w:noProof/>
          <w:szCs w:val="24"/>
        </w:rPr>
        <w:t>raggiungono entro 22,5</w:t>
      </w:r>
      <w:r w:rsidR="0048293F">
        <w:rPr>
          <w:noProof/>
          <w:szCs w:val="24"/>
        </w:rPr>
        <w:noBreakHyphen/>
      </w:r>
      <w:r w:rsidRPr="00F146E5">
        <w:rPr>
          <w:noProof/>
          <w:szCs w:val="24"/>
        </w:rPr>
        <w:t>240</w:t>
      </w:r>
      <w:r w:rsidR="00EE23DD">
        <w:t> </w:t>
      </w:r>
      <w:r w:rsidRPr="00F146E5">
        <w:rPr>
          <w:noProof/>
          <w:szCs w:val="24"/>
        </w:rPr>
        <w:t>minuti.</w:t>
      </w:r>
      <w:r>
        <w:rPr>
          <w:noProof/>
          <w:szCs w:val="24"/>
        </w:rPr>
        <w:t xml:space="preserve"> </w:t>
      </w:r>
    </w:p>
    <w:p w14:paraId="2FE12F43" w14:textId="77777777" w:rsidR="00F146E5" w:rsidRDefault="00F146E5" w:rsidP="00D10BA1">
      <w:pPr>
        <w:rPr>
          <w:noProof/>
          <w:szCs w:val="24"/>
        </w:rPr>
      </w:pPr>
    </w:p>
    <w:p w14:paraId="6CDEEA4A" w14:textId="570E4261" w:rsidR="00F146E5" w:rsidRDefault="00F146E5" w:rsidP="00D10BA1">
      <w:pPr>
        <w:rPr>
          <w:noProof/>
          <w:szCs w:val="24"/>
        </w:rPr>
      </w:pPr>
      <w:r>
        <w:rPr>
          <w:noProof/>
          <w:szCs w:val="24"/>
        </w:rPr>
        <w:t>Circa l</w:t>
      </w:r>
      <w:r w:rsidR="00393B71">
        <w:rPr>
          <w:noProof/>
          <w:szCs w:val="24"/>
        </w:rPr>
        <w:t>’</w:t>
      </w:r>
      <w:r w:rsidRPr="00F146E5">
        <w:rPr>
          <w:noProof/>
          <w:szCs w:val="24"/>
        </w:rPr>
        <w:t>80</w:t>
      </w:r>
      <w:r w:rsidR="0048293F">
        <w:rPr>
          <w:noProof/>
          <w:szCs w:val="24"/>
        </w:rPr>
        <w:noBreakHyphen/>
      </w:r>
      <w:r w:rsidRPr="00F146E5">
        <w:rPr>
          <w:noProof/>
          <w:szCs w:val="24"/>
        </w:rPr>
        <w:t>85% del fentanil si lega alle proteine pl</w:t>
      </w:r>
      <w:r>
        <w:rPr>
          <w:noProof/>
          <w:szCs w:val="24"/>
        </w:rPr>
        <w:t>asmatiche, principalmente all</w:t>
      </w:r>
      <w:r w:rsidR="00393B71">
        <w:rPr>
          <w:noProof/>
          <w:szCs w:val="24"/>
        </w:rPr>
        <w:t>’</w:t>
      </w:r>
      <w:r w:rsidRPr="00F146E5">
        <w:rPr>
          <w:szCs w:val="22"/>
        </w:rPr>
        <w:t xml:space="preserve"> </w:t>
      </w:r>
      <w:r w:rsidRPr="00817516">
        <w:rPr>
          <w:szCs w:val="22"/>
        </w:rPr>
        <w:t>α</w:t>
      </w:r>
      <w:r>
        <w:rPr>
          <w:szCs w:val="22"/>
        </w:rPr>
        <w:t>1</w:t>
      </w:r>
      <w:r w:rsidRPr="00F146E5">
        <w:rPr>
          <w:noProof/>
          <w:szCs w:val="24"/>
        </w:rPr>
        <w:t>-glicoproteina e in</w:t>
      </w:r>
      <w:r>
        <w:rPr>
          <w:noProof/>
          <w:szCs w:val="24"/>
        </w:rPr>
        <w:t xml:space="preserve"> </w:t>
      </w:r>
      <w:r w:rsidRPr="00F146E5">
        <w:rPr>
          <w:noProof/>
          <w:szCs w:val="24"/>
        </w:rPr>
        <w:t>misura minore ad albumina e lipoproteina. Il volume di distribuzione del fentanil allo steady-state è di</w:t>
      </w:r>
      <w:r>
        <w:rPr>
          <w:noProof/>
          <w:szCs w:val="24"/>
        </w:rPr>
        <w:t xml:space="preserve"> </w:t>
      </w:r>
      <w:r w:rsidRPr="00F146E5">
        <w:rPr>
          <w:noProof/>
          <w:szCs w:val="24"/>
        </w:rPr>
        <w:t>circa 3</w:t>
      </w:r>
      <w:r w:rsidR="0048293F">
        <w:rPr>
          <w:noProof/>
          <w:szCs w:val="24"/>
        </w:rPr>
        <w:noBreakHyphen/>
      </w:r>
      <w:r w:rsidRPr="00F146E5">
        <w:rPr>
          <w:noProof/>
          <w:szCs w:val="24"/>
        </w:rPr>
        <w:t>6</w:t>
      </w:r>
      <w:r w:rsidR="0048293F">
        <w:rPr>
          <w:noProof/>
          <w:szCs w:val="24"/>
        </w:rPr>
        <w:t> </w:t>
      </w:r>
      <w:r w:rsidRPr="00F146E5">
        <w:rPr>
          <w:noProof/>
          <w:szCs w:val="24"/>
        </w:rPr>
        <w:t>l/kg.</w:t>
      </w:r>
    </w:p>
    <w:p w14:paraId="7B3CD010" w14:textId="77777777" w:rsidR="00A25660" w:rsidRPr="00F146E5" w:rsidRDefault="00A25660" w:rsidP="00D10BA1">
      <w:pPr>
        <w:rPr>
          <w:noProof/>
          <w:szCs w:val="24"/>
        </w:rPr>
      </w:pPr>
    </w:p>
    <w:p w14:paraId="3ECF07A1" w14:textId="77777777" w:rsidR="00F7234A" w:rsidRDefault="00B46DB0" w:rsidP="00D10BA1">
      <w:pPr>
        <w:rPr>
          <w:noProof/>
          <w:szCs w:val="24"/>
        </w:rPr>
      </w:pPr>
      <w:r w:rsidRPr="00804996">
        <w:rPr>
          <w:noProof/>
          <w:szCs w:val="24"/>
          <w:u w:val="single"/>
        </w:rPr>
        <w:t>Biotrasformazione</w:t>
      </w:r>
    </w:p>
    <w:p w14:paraId="276470F3" w14:textId="22EE61F5" w:rsidR="00D10BA1" w:rsidRDefault="00F146E5" w:rsidP="00D10BA1">
      <w:pPr>
        <w:rPr>
          <w:noProof/>
          <w:szCs w:val="24"/>
        </w:rPr>
      </w:pPr>
      <w:r w:rsidRPr="00F146E5">
        <w:rPr>
          <w:noProof/>
          <w:szCs w:val="24"/>
        </w:rPr>
        <w:t>Il fentanil è principalmente metabolizzato via CYP3A4 in diversi metaboliti farmacologicamente</w:t>
      </w:r>
      <w:r>
        <w:rPr>
          <w:noProof/>
          <w:szCs w:val="24"/>
        </w:rPr>
        <w:t xml:space="preserve"> </w:t>
      </w:r>
      <w:r w:rsidRPr="00F146E5">
        <w:rPr>
          <w:noProof/>
          <w:szCs w:val="24"/>
        </w:rPr>
        <w:t>inattivi, compreso il norfentanil. Entro 72</w:t>
      </w:r>
      <w:r w:rsidR="00663B83">
        <w:rPr>
          <w:noProof/>
          <w:szCs w:val="24"/>
        </w:rPr>
        <w:t> </w:t>
      </w:r>
      <w:r w:rsidRPr="00F146E5">
        <w:rPr>
          <w:noProof/>
          <w:szCs w:val="24"/>
        </w:rPr>
        <w:t>ore dalla somministrazione di fentanil per via endovenosa,</w:t>
      </w:r>
      <w:r>
        <w:rPr>
          <w:noProof/>
          <w:szCs w:val="24"/>
        </w:rPr>
        <w:t xml:space="preserve"> </w:t>
      </w:r>
      <w:r w:rsidRPr="00F146E5">
        <w:rPr>
          <w:noProof/>
          <w:szCs w:val="24"/>
        </w:rPr>
        <w:t>circa il 75% della dose viene escreta nelle urine, principalmente come metaboliti, con meno del 10%</w:t>
      </w:r>
      <w:r>
        <w:rPr>
          <w:noProof/>
          <w:szCs w:val="24"/>
        </w:rPr>
        <w:t xml:space="preserve"> </w:t>
      </w:r>
      <w:r w:rsidRPr="00F146E5">
        <w:rPr>
          <w:noProof/>
          <w:szCs w:val="24"/>
        </w:rPr>
        <w:t>come farmaco inalterato. Circa il 9% della dose è presente nelle feci, principalmente come metaboliti.</w:t>
      </w:r>
      <w:r>
        <w:rPr>
          <w:noProof/>
          <w:szCs w:val="24"/>
        </w:rPr>
        <w:t xml:space="preserve"> </w:t>
      </w:r>
      <w:r w:rsidRPr="00F146E5">
        <w:rPr>
          <w:noProof/>
          <w:szCs w:val="24"/>
        </w:rPr>
        <w:t>La clearance totale plasmatica di fentanil è circa 0,5</w:t>
      </w:r>
      <w:r w:rsidR="00FB0417">
        <w:rPr>
          <w:noProof/>
          <w:szCs w:val="24"/>
        </w:rPr>
        <w:t> </w:t>
      </w:r>
      <w:r w:rsidRPr="00F146E5">
        <w:rPr>
          <w:noProof/>
          <w:szCs w:val="24"/>
        </w:rPr>
        <w:t>l/h/kg.</w:t>
      </w:r>
    </w:p>
    <w:p w14:paraId="534DDC5D" w14:textId="77777777" w:rsidR="00F146E5" w:rsidRDefault="00F146E5" w:rsidP="00AD4B58">
      <w:pPr>
        <w:jc w:val="both"/>
        <w:rPr>
          <w:noProof/>
          <w:szCs w:val="24"/>
        </w:rPr>
      </w:pPr>
    </w:p>
    <w:p w14:paraId="6D0BBD90" w14:textId="77777777" w:rsidR="00F7234A" w:rsidRDefault="00B46DB0" w:rsidP="00AD4B58">
      <w:pPr>
        <w:jc w:val="both"/>
        <w:rPr>
          <w:noProof/>
          <w:szCs w:val="24"/>
        </w:rPr>
      </w:pPr>
      <w:r w:rsidRPr="00804996">
        <w:rPr>
          <w:noProof/>
          <w:szCs w:val="24"/>
          <w:u w:val="single"/>
        </w:rPr>
        <w:t>Eliminazione</w:t>
      </w:r>
    </w:p>
    <w:p w14:paraId="76743F16" w14:textId="509E1AD0" w:rsidR="00D10BA1" w:rsidRDefault="00D10BA1" w:rsidP="00D10BA1">
      <w:pPr>
        <w:jc w:val="both"/>
        <w:rPr>
          <w:noProof/>
          <w:szCs w:val="24"/>
        </w:rPr>
      </w:pPr>
      <w:r w:rsidRPr="00D10BA1">
        <w:rPr>
          <w:noProof/>
          <w:szCs w:val="24"/>
        </w:rPr>
        <w:t xml:space="preserve">Dopo la somministrazione di </w:t>
      </w:r>
      <w:r>
        <w:rPr>
          <w:noProof/>
          <w:szCs w:val="24"/>
        </w:rPr>
        <w:t>Sublifen</w:t>
      </w:r>
      <w:r w:rsidRPr="00D10BA1">
        <w:rPr>
          <w:noProof/>
          <w:szCs w:val="24"/>
        </w:rPr>
        <w:t>, l</w:t>
      </w:r>
      <w:r w:rsidR="00393B71">
        <w:rPr>
          <w:noProof/>
          <w:szCs w:val="24"/>
        </w:rPr>
        <w:t>’</w:t>
      </w:r>
      <w:r w:rsidRPr="00D10BA1">
        <w:rPr>
          <w:noProof/>
          <w:szCs w:val="24"/>
        </w:rPr>
        <w:t>emivita di eliminazione primaria di fentanil è pari a circa 7</w:t>
      </w:r>
      <w:r w:rsidR="006D3DBC">
        <w:rPr>
          <w:noProof/>
          <w:szCs w:val="24"/>
        </w:rPr>
        <w:t> </w:t>
      </w:r>
      <w:r w:rsidRPr="00D10BA1">
        <w:rPr>
          <w:noProof/>
          <w:szCs w:val="24"/>
        </w:rPr>
        <w:t>ore</w:t>
      </w:r>
      <w:r>
        <w:rPr>
          <w:noProof/>
          <w:szCs w:val="24"/>
        </w:rPr>
        <w:t xml:space="preserve"> </w:t>
      </w:r>
      <w:r w:rsidRPr="00D10BA1">
        <w:rPr>
          <w:noProof/>
          <w:szCs w:val="24"/>
        </w:rPr>
        <w:t>(range 3</w:t>
      </w:r>
      <w:r w:rsidR="006D3DBC">
        <w:rPr>
          <w:noProof/>
          <w:szCs w:val="24"/>
        </w:rPr>
        <w:noBreakHyphen/>
      </w:r>
      <w:r w:rsidRPr="00D10BA1">
        <w:rPr>
          <w:noProof/>
          <w:szCs w:val="24"/>
        </w:rPr>
        <w:t>12,5</w:t>
      </w:r>
      <w:r w:rsidR="006D3DBC">
        <w:rPr>
          <w:noProof/>
          <w:szCs w:val="24"/>
        </w:rPr>
        <w:t> </w:t>
      </w:r>
      <w:r w:rsidRPr="00D10BA1">
        <w:rPr>
          <w:noProof/>
          <w:szCs w:val="24"/>
        </w:rPr>
        <w:t>ore) e l</w:t>
      </w:r>
      <w:r w:rsidR="00393B71">
        <w:rPr>
          <w:noProof/>
          <w:szCs w:val="24"/>
        </w:rPr>
        <w:t>’</w:t>
      </w:r>
      <w:r w:rsidRPr="00D10BA1">
        <w:rPr>
          <w:noProof/>
          <w:szCs w:val="24"/>
        </w:rPr>
        <w:t>emivita terminale è pari a circa 20</w:t>
      </w:r>
      <w:r w:rsidR="006D3DBC">
        <w:rPr>
          <w:noProof/>
          <w:szCs w:val="24"/>
        </w:rPr>
        <w:t> </w:t>
      </w:r>
      <w:r w:rsidRPr="00D10BA1">
        <w:rPr>
          <w:noProof/>
          <w:szCs w:val="24"/>
        </w:rPr>
        <w:t>ore (range 11,5</w:t>
      </w:r>
      <w:r w:rsidR="006D3DBC">
        <w:rPr>
          <w:noProof/>
          <w:szCs w:val="24"/>
        </w:rPr>
        <w:noBreakHyphen/>
      </w:r>
      <w:r w:rsidRPr="00D10BA1">
        <w:rPr>
          <w:noProof/>
          <w:szCs w:val="24"/>
        </w:rPr>
        <w:t>25</w:t>
      </w:r>
      <w:r w:rsidR="00663B83">
        <w:rPr>
          <w:noProof/>
          <w:szCs w:val="24"/>
        </w:rPr>
        <w:t> </w:t>
      </w:r>
      <w:r w:rsidRPr="00D10BA1">
        <w:rPr>
          <w:noProof/>
          <w:szCs w:val="24"/>
        </w:rPr>
        <w:t>ore).</w:t>
      </w:r>
    </w:p>
    <w:p w14:paraId="64A51FE8" w14:textId="77777777" w:rsidR="00D10BA1" w:rsidRDefault="00D10BA1" w:rsidP="00AD4B58">
      <w:pPr>
        <w:jc w:val="both"/>
        <w:rPr>
          <w:szCs w:val="24"/>
        </w:rPr>
      </w:pPr>
    </w:p>
    <w:p w14:paraId="2DC5FD4B" w14:textId="5C778689" w:rsidR="00D10BA1" w:rsidRPr="00D10BA1" w:rsidRDefault="00D10BA1" w:rsidP="00D10BA1">
      <w:pPr>
        <w:autoSpaceDE w:val="0"/>
        <w:autoSpaceDN w:val="0"/>
        <w:adjustRightInd w:val="0"/>
        <w:rPr>
          <w:noProof/>
          <w:szCs w:val="24"/>
        </w:rPr>
      </w:pPr>
      <w:r w:rsidRPr="00D10BA1">
        <w:rPr>
          <w:noProof/>
          <w:szCs w:val="24"/>
        </w:rPr>
        <w:t xml:space="preserve">La farmacocinetica di </w:t>
      </w:r>
      <w:r>
        <w:rPr>
          <w:noProof/>
          <w:szCs w:val="24"/>
        </w:rPr>
        <w:t>Sublifen</w:t>
      </w:r>
      <w:r w:rsidRPr="00D10BA1">
        <w:rPr>
          <w:noProof/>
          <w:szCs w:val="24"/>
        </w:rPr>
        <w:t xml:space="preserve"> è risultata proporzionale alla dose, nel range di dosi compreso tra 100 e</w:t>
      </w:r>
      <w:r>
        <w:rPr>
          <w:noProof/>
          <w:szCs w:val="24"/>
        </w:rPr>
        <w:t xml:space="preserve"> </w:t>
      </w:r>
      <w:r w:rsidRPr="00D10BA1">
        <w:rPr>
          <w:noProof/>
          <w:szCs w:val="24"/>
        </w:rPr>
        <w:t>800</w:t>
      </w:r>
      <w:r w:rsidR="006D3DBC">
        <w:rPr>
          <w:noProof/>
          <w:szCs w:val="24"/>
        </w:rPr>
        <w:t> </w:t>
      </w:r>
      <w:r w:rsidRPr="00D10BA1">
        <w:rPr>
          <w:noProof/>
          <w:szCs w:val="24"/>
        </w:rPr>
        <w:t>μg. Studi farmacocinetici hanno dimostrato che compresse multiple sono bioequivalenti a</w:t>
      </w:r>
      <w:r>
        <w:rPr>
          <w:noProof/>
          <w:szCs w:val="24"/>
        </w:rPr>
        <w:t xml:space="preserve"> </w:t>
      </w:r>
      <w:r w:rsidRPr="00D10BA1">
        <w:rPr>
          <w:noProof/>
          <w:szCs w:val="24"/>
        </w:rPr>
        <w:t>compresse singole della dose equivalente.</w:t>
      </w:r>
    </w:p>
    <w:p w14:paraId="1F93034F" w14:textId="77777777" w:rsidR="00F7234A" w:rsidRDefault="00F7234A" w:rsidP="00AD4B58">
      <w:pPr>
        <w:suppressAutoHyphens/>
        <w:rPr>
          <w:noProof/>
          <w:szCs w:val="24"/>
        </w:rPr>
      </w:pPr>
    </w:p>
    <w:p w14:paraId="65F2B81A" w14:textId="77777777" w:rsidR="00D10BA1" w:rsidRPr="00D10BA1" w:rsidRDefault="00D10BA1" w:rsidP="00D10BA1">
      <w:pPr>
        <w:autoSpaceDE w:val="0"/>
        <w:autoSpaceDN w:val="0"/>
        <w:adjustRightInd w:val="0"/>
        <w:rPr>
          <w:noProof/>
          <w:szCs w:val="24"/>
          <w:u w:val="single"/>
        </w:rPr>
      </w:pPr>
      <w:r w:rsidRPr="00D10BA1">
        <w:rPr>
          <w:noProof/>
          <w:szCs w:val="24"/>
          <w:u w:val="single"/>
        </w:rPr>
        <w:t>Insufficienza renale/epatica</w:t>
      </w:r>
    </w:p>
    <w:p w14:paraId="2B8DA573" w14:textId="77777777" w:rsidR="00D10BA1" w:rsidRPr="00D10BA1" w:rsidRDefault="00D10BA1" w:rsidP="00D10BA1">
      <w:pPr>
        <w:autoSpaceDE w:val="0"/>
        <w:autoSpaceDN w:val="0"/>
        <w:adjustRightInd w:val="0"/>
        <w:rPr>
          <w:noProof/>
          <w:szCs w:val="24"/>
        </w:rPr>
      </w:pPr>
      <w:r w:rsidRPr="00D10BA1">
        <w:rPr>
          <w:noProof/>
          <w:szCs w:val="24"/>
        </w:rPr>
        <w:t xml:space="preserve">Una funzione epatica o renale </w:t>
      </w:r>
      <w:r>
        <w:rPr>
          <w:noProof/>
          <w:szCs w:val="24"/>
        </w:rPr>
        <w:t>compromessa</w:t>
      </w:r>
      <w:r w:rsidRPr="00D10BA1">
        <w:rPr>
          <w:noProof/>
          <w:szCs w:val="24"/>
        </w:rPr>
        <w:t xml:space="preserve"> può causare un aumento delle concentrazioni sieriche.</w:t>
      </w:r>
    </w:p>
    <w:p w14:paraId="7410E4BF" w14:textId="77777777" w:rsidR="00D10BA1" w:rsidRPr="00D10BA1" w:rsidRDefault="00D10BA1" w:rsidP="00D10BA1">
      <w:pPr>
        <w:autoSpaceDE w:val="0"/>
        <w:autoSpaceDN w:val="0"/>
        <w:adjustRightInd w:val="0"/>
        <w:rPr>
          <w:noProof/>
          <w:szCs w:val="24"/>
        </w:rPr>
      </w:pPr>
      <w:r w:rsidRPr="00D10BA1">
        <w:rPr>
          <w:noProof/>
          <w:szCs w:val="24"/>
        </w:rPr>
        <w:t>Pazienti anziani, cachettici o in genere debilitati possono avere una clearance del fentanil inferiore, che</w:t>
      </w:r>
      <w:r>
        <w:rPr>
          <w:noProof/>
          <w:szCs w:val="24"/>
        </w:rPr>
        <w:t xml:space="preserve"> potrebbe causare un</w:t>
      </w:r>
      <w:r w:rsidR="00393B71">
        <w:rPr>
          <w:noProof/>
          <w:szCs w:val="24"/>
        </w:rPr>
        <w:t>’</w:t>
      </w:r>
      <w:r w:rsidRPr="00D10BA1">
        <w:rPr>
          <w:noProof/>
          <w:szCs w:val="24"/>
        </w:rPr>
        <w:t xml:space="preserve">emivita finale più prolungata </w:t>
      </w:r>
      <w:r>
        <w:rPr>
          <w:noProof/>
          <w:szCs w:val="24"/>
        </w:rPr>
        <w:t xml:space="preserve">per il composto </w:t>
      </w:r>
      <w:r w:rsidRPr="00D10BA1">
        <w:rPr>
          <w:noProof/>
          <w:szCs w:val="24"/>
        </w:rPr>
        <w:t>(vedere paragrafi 4.2 e 4.4).</w:t>
      </w:r>
    </w:p>
    <w:p w14:paraId="47246787" w14:textId="77777777" w:rsidR="00D10BA1" w:rsidRPr="00804996" w:rsidRDefault="00D10BA1" w:rsidP="00D10BA1">
      <w:pPr>
        <w:suppressAutoHyphens/>
      </w:pPr>
    </w:p>
    <w:p w14:paraId="5AA46E7F" w14:textId="77777777" w:rsidR="00C75B69" w:rsidRPr="00804996" w:rsidRDefault="00B46DB0" w:rsidP="00AD4B58">
      <w:pPr>
        <w:suppressAutoHyphens/>
        <w:ind w:left="567" w:hanging="567"/>
      </w:pPr>
      <w:r w:rsidRPr="00804996">
        <w:rPr>
          <w:b/>
        </w:rPr>
        <w:t>5.3</w:t>
      </w:r>
      <w:r w:rsidRPr="00804996">
        <w:rPr>
          <w:b/>
        </w:rPr>
        <w:tab/>
        <w:t xml:space="preserve">Dati preclinici di sicurezza </w:t>
      </w:r>
    </w:p>
    <w:p w14:paraId="712FF0C6" w14:textId="77777777" w:rsidR="00C75B69" w:rsidRPr="00804996" w:rsidRDefault="00C75B69" w:rsidP="00AD4B58">
      <w:pPr>
        <w:suppressAutoHyphens/>
      </w:pPr>
    </w:p>
    <w:p w14:paraId="5734D8AF" w14:textId="77777777" w:rsidR="00D10BA1" w:rsidRDefault="00D10BA1" w:rsidP="00D10BA1">
      <w:pPr>
        <w:suppressAutoHyphens/>
      </w:pPr>
      <w:r>
        <w:t>I dati di farmacologia sulla sicurezza e sulla tossicità di dosi ripetute non rivelano un particolare pericolo per gli esseri umani, che non sia già contemplato in altri paragrafi di questo Riassunto delle Caratteristiche del Prodotto. Studi sugli animali hanno mostrato una riduzione della fertilità e un aumento della mortalità nei feti dei ratti. Gli effetti teratogenici, tuttavia, non sono stati dimostrati.</w:t>
      </w:r>
    </w:p>
    <w:p w14:paraId="21699C0D" w14:textId="77777777" w:rsidR="00D10BA1" w:rsidRDefault="00D10BA1" w:rsidP="00D10BA1">
      <w:pPr>
        <w:suppressAutoHyphens/>
      </w:pPr>
    </w:p>
    <w:p w14:paraId="6B945678" w14:textId="77777777" w:rsidR="00D10BA1" w:rsidRDefault="00D10BA1" w:rsidP="00D10BA1">
      <w:pPr>
        <w:suppressAutoHyphens/>
      </w:pPr>
      <w:r>
        <w:t xml:space="preserve">I test di mutagenesi nei batteri e nei roditori hanno ottenuto risultati negativi. Come altri oppiacei, il </w:t>
      </w:r>
      <w:proofErr w:type="spellStart"/>
      <w:r>
        <w:t>fentanil</w:t>
      </w:r>
      <w:proofErr w:type="spellEnd"/>
      <w:r>
        <w:t xml:space="preserve"> ha mostrato effetti mutageni in vitro sulle cellule di mammiferi. Un rischio mutageno con l</w:t>
      </w:r>
      <w:r w:rsidR="00393B71">
        <w:t>’</w:t>
      </w:r>
      <w:r>
        <w:t>uso terapeutico sembra improbabile, poiché gli effetti sono stati indotti solo a concentrazioni molto alte.</w:t>
      </w:r>
    </w:p>
    <w:p w14:paraId="34C618D4" w14:textId="77777777" w:rsidR="00D10BA1" w:rsidRDefault="00D10BA1" w:rsidP="00D10BA1">
      <w:pPr>
        <w:suppressAutoHyphens/>
      </w:pPr>
    </w:p>
    <w:p w14:paraId="2EB351C3" w14:textId="51E751A5" w:rsidR="00C75B69" w:rsidRPr="00804996" w:rsidRDefault="00D10BA1" w:rsidP="00D10BA1">
      <w:pPr>
        <w:suppressAutoHyphens/>
      </w:pPr>
      <w:r>
        <w:t>Studi sulla carcinogenesi (</w:t>
      </w:r>
      <w:proofErr w:type="spellStart"/>
      <w:r>
        <w:t>bioassay</w:t>
      </w:r>
      <w:proofErr w:type="spellEnd"/>
      <w:r>
        <w:t xml:space="preserve"> alternativo dermico della durata di 26</w:t>
      </w:r>
      <w:r w:rsidR="006D3DBC">
        <w:t> </w:t>
      </w:r>
      <w:r>
        <w:t>settimane in top</w:t>
      </w:r>
      <w:r w:rsidR="00F83DA3">
        <w:t>i</w:t>
      </w:r>
      <w:r>
        <w:t xml:space="preserve"> transgenici </w:t>
      </w:r>
      <w:proofErr w:type="spellStart"/>
      <w:r>
        <w:t>TgAC</w:t>
      </w:r>
      <w:proofErr w:type="spellEnd"/>
      <w:r>
        <w:t>; studio di cancerogenesi sottocutanea nei ratti della durata di 2</w:t>
      </w:r>
      <w:r w:rsidR="006D3DBC">
        <w:t> </w:t>
      </w:r>
      <w:r>
        <w:t xml:space="preserve">anni) con </w:t>
      </w:r>
      <w:proofErr w:type="spellStart"/>
      <w:r>
        <w:t>fentanil</w:t>
      </w:r>
      <w:proofErr w:type="spellEnd"/>
      <w:r>
        <w:t xml:space="preserve"> non hanno rivelato risultati indicativi di potenziale </w:t>
      </w:r>
      <w:proofErr w:type="spellStart"/>
      <w:r>
        <w:t>oncogenico</w:t>
      </w:r>
      <w:proofErr w:type="spellEnd"/>
      <w:r>
        <w:t xml:space="preserve">. La valutazione di vetrini del cervello provenienti dallo studio di carcinogenesi nei ratti ha rivelato lesioni cerebrali in animali trattati con dosi elevate di </w:t>
      </w:r>
      <w:proofErr w:type="spellStart"/>
      <w:r>
        <w:t>fentanil</w:t>
      </w:r>
      <w:proofErr w:type="spellEnd"/>
      <w:r>
        <w:t xml:space="preserve"> citrato. La rilevanza di questi risultati nell</w:t>
      </w:r>
      <w:r w:rsidR="00393B71">
        <w:t>’</w:t>
      </w:r>
      <w:r>
        <w:t>uomo non è nota.</w:t>
      </w:r>
      <w:r w:rsidR="00C976C5">
        <w:t xml:space="preserve"> </w:t>
      </w:r>
    </w:p>
    <w:p w14:paraId="30546A07" w14:textId="77777777" w:rsidR="00163F17" w:rsidRDefault="00163F17" w:rsidP="00AD4B58">
      <w:pPr>
        <w:suppressAutoHyphens/>
      </w:pPr>
    </w:p>
    <w:p w14:paraId="31744D42" w14:textId="77777777" w:rsidR="00D10BA1" w:rsidRPr="00804996" w:rsidRDefault="00D10BA1" w:rsidP="00AD4B58">
      <w:pPr>
        <w:suppressAutoHyphens/>
      </w:pPr>
    </w:p>
    <w:p w14:paraId="55C4B817" w14:textId="77777777" w:rsidR="00C75B69" w:rsidRPr="00804996" w:rsidRDefault="00B46DB0" w:rsidP="00AD4B58">
      <w:pPr>
        <w:suppressAutoHyphens/>
        <w:ind w:left="567" w:hanging="567"/>
      </w:pPr>
      <w:r w:rsidRPr="00804996">
        <w:rPr>
          <w:b/>
        </w:rPr>
        <w:t>6.</w:t>
      </w:r>
      <w:r w:rsidRPr="00804996">
        <w:rPr>
          <w:b/>
        </w:rPr>
        <w:tab/>
        <w:t>INFORMAZIONI FARMACEUTICHE</w:t>
      </w:r>
    </w:p>
    <w:p w14:paraId="76D71F65" w14:textId="77777777" w:rsidR="00C75B69" w:rsidRPr="00804996" w:rsidRDefault="00C75B69" w:rsidP="00AD4B58">
      <w:pPr>
        <w:pStyle w:val="Intestazione"/>
        <w:widowControl/>
        <w:tabs>
          <w:tab w:val="clear" w:pos="567"/>
          <w:tab w:val="clear" w:pos="4153"/>
          <w:tab w:val="clear" w:pos="8306"/>
        </w:tabs>
        <w:suppressAutoHyphens/>
        <w:rPr>
          <w:rFonts w:ascii="Times New Roman" w:hAnsi="Times New Roman"/>
        </w:rPr>
      </w:pPr>
    </w:p>
    <w:p w14:paraId="35DC6C1D" w14:textId="77777777" w:rsidR="00C75B69" w:rsidRPr="00804996" w:rsidRDefault="00B46DB0" w:rsidP="00AD4B58">
      <w:pPr>
        <w:suppressAutoHyphens/>
        <w:ind w:left="567" w:hanging="567"/>
      </w:pPr>
      <w:r w:rsidRPr="00804996">
        <w:rPr>
          <w:b/>
        </w:rPr>
        <w:lastRenderedPageBreak/>
        <w:t>6.1</w:t>
      </w:r>
      <w:r w:rsidRPr="00804996">
        <w:rPr>
          <w:b/>
        </w:rPr>
        <w:tab/>
        <w:t>Elenco degli eccipienti</w:t>
      </w:r>
    </w:p>
    <w:p w14:paraId="642C6947" w14:textId="77777777" w:rsidR="00C75B69" w:rsidRPr="00804996" w:rsidRDefault="00C75B69" w:rsidP="00AD4B58"/>
    <w:p w14:paraId="16CFB358" w14:textId="77777777" w:rsidR="005441AB" w:rsidRPr="005441AB" w:rsidRDefault="005441AB" w:rsidP="005441AB">
      <w:pPr>
        <w:autoSpaceDE w:val="0"/>
        <w:autoSpaceDN w:val="0"/>
        <w:adjustRightInd w:val="0"/>
      </w:pPr>
      <w:r w:rsidRPr="005441AB">
        <w:t>Mannitolo (E421)</w:t>
      </w:r>
    </w:p>
    <w:p w14:paraId="391FF5AF" w14:textId="02B050B6" w:rsidR="005441AB" w:rsidRDefault="00F53474" w:rsidP="00F53474">
      <w:pPr>
        <w:autoSpaceDE w:val="0"/>
        <w:autoSpaceDN w:val="0"/>
        <w:adjustRightInd w:val="0"/>
      </w:pPr>
      <w:r>
        <w:t>Cellulosa microcristallina silicizzata (E460/E551)</w:t>
      </w:r>
    </w:p>
    <w:p w14:paraId="0249D5FC" w14:textId="77777777" w:rsidR="005441AB" w:rsidRPr="005441AB" w:rsidRDefault="005441AB" w:rsidP="005441AB">
      <w:pPr>
        <w:autoSpaceDE w:val="0"/>
        <w:autoSpaceDN w:val="0"/>
        <w:adjustRightInd w:val="0"/>
      </w:pPr>
      <w:proofErr w:type="spellStart"/>
      <w:r w:rsidRPr="005441AB">
        <w:t>Croscarmellosa</w:t>
      </w:r>
      <w:proofErr w:type="spellEnd"/>
      <w:r w:rsidRPr="005441AB">
        <w:t xml:space="preserve"> sodica</w:t>
      </w:r>
      <w:r>
        <w:t xml:space="preserve"> </w:t>
      </w:r>
      <w:r w:rsidRPr="006D5DFC">
        <w:rPr>
          <w:noProof/>
          <w:szCs w:val="22"/>
        </w:rPr>
        <w:t>(E468)</w:t>
      </w:r>
    </w:p>
    <w:p w14:paraId="65A2DE3D" w14:textId="77777777" w:rsidR="00C75B69" w:rsidRPr="005441AB" w:rsidRDefault="005441AB" w:rsidP="005441AB">
      <w:pPr>
        <w:suppressAutoHyphens/>
      </w:pPr>
      <w:r w:rsidRPr="005441AB">
        <w:t>Magnesio stearato</w:t>
      </w:r>
      <w:r>
        <w:t xml:space="preserve"> </w:t>
      </w:r>
      <w:r w:rsidRPr="006D5DFC">
        <w:rPr>
          <w:noProof/>
          <w:szCs w:val="22"/>
        </w:rPr>
        <w:t>(E470b)</w:t>
      </w:r>
    </w:p>
    <w:p w14:paraId="3434C51F" w14:textId="77777777" w:rsidR="005441AB" w:rsidRPr="00804996" w:rsidRDefault="005441AB" w:rsidP="005441AB">
      <w:pPr>
        <w:suppressAutoHyphens/>
      </w:pPr>
    </w:p>
    <w:p w14:paraId="677B0383" w14:textId="77777777" w:rsidR="00C75B69" w:rsidRPr="00804996" w:rsidRDefault="00B46DB0" w:rsidP="00AD4B58">
      <w:pPr>
        <w:suppressAutoHyphens/>
        <w:ind w:left="567" w:hanging="567"/>
      </w:pPr>
      <w:r w:rsidRPr="00804996">
        <w:rPr>
          <w:b/>
        </w:rPr>
        <w:t>6.2</w:t>
      </w:r>
      <w:r w:rsidRPr="00804996">
        <w:rPr>
          <w:b/>
        </w:rPr>
        <w:tab/>
        <w:t>Incompatibilità</w:t>
      </w:r>
    </w:p>
    <w:p w14:paraId="75429CD7" w14:textId="77777777" w:rsidR="00C75B69" w:rsidRPr="00804996" w:rsidRDefault="00C75B69" w:rsidP="00AD4B58">
      <w:pPr>
        <w:suppressAutoHyphens/>
      </w:pPr>
    </w:p>
    <w:p w14:paraId="1787E5A9" w14:textId="77777777" w:rsidR="00C75B69" w:rsidRPr="00804996" w:rsidRDefault="005441AB" w:rsidP="00AD4B58">
      <w:pPr>
        <w:suppressAutoHyphens/>
      </w:pPr>
      <w:r>
        <w:t>Non pertinente.</w:t>
      </w:r>
    </w:p>
    <w:p w14:paraId="53823A1E" w14:textId="77777777" w:rsidR="0042199F" w:rsidRPr="00804996" w:rsidRDefault="0042199F" w:rsidP="00AD4B58">
      <w:pPr>
        <w:suppressAutoHyphens/>
      </w:pPr>
    </w:p>
    <w:p w14:paraId="45FC73CE" w14:textId="77777777" w:rsidR="00C75B69" w:rsidRPr="00804996" w:rsidRDefault="00B46DB0" w:rsidP="00AD4B58">
      <w:pPr>
        <w:suppressAutoHyphens/>
        <w:ind w:left="567" w:hanging="567"/>
      </w:pPr>
      <w:r w:rsidRPr="00804996">
        <w:rPr>
          <w:b/>
        </w:rPr>
        <w:t>6.3</w:t>
      </w:r>
      <w:r w:rsidRPr="00804996">
        <w:rPr>
          <w:b/>
        </w:rPr>
        <w:tab/>
        <w:t>Periodo di validità</w:t>
      </w:r>
    </w:p>
    <w:p w14:paraId="00F376B0" w14:textId="77777777" w:rsidR="00C75B69" w:rsidRPr="00804996" w:rsidRDefault="00C75B69" w:rsidP="00AD4B58">
      <w:pPr>
        <w:suppressAutoHyphens/>
      </w:pPr>
    </w:p>
    <w:p w14:paraId="171CF10B" w14:textId="7065D68E" w:rsidR="00C75B69" w:rsidRPr="00804996" w:rsidRDefault="00B46DB0" w:rsidP="00AD4B58">
      <w:pPr>
        <w:suppressAutoHyphens/>
      </w:pPr>
      <w:r w:rsidRPr="00804996">
        <w:t>3</w:t>
      </w:r>
      <w:r w:rsidR="00C968F8">
        <w:t> </w:t>
      </w:r>
      <w:r w:rsidR="005441AB">
        <w:t>anni</w:t>
      </w:r>
    </w:p>
    <w:p w14:paraId="4C57E1D4" w14:textId="77777777" w:rsidR="00C75B69" w:rsidRPr="00804996" w:rsidRDefault="00C75B69" w:rsidP="00AD4B58"/>
    <w:p w14:paraId="627F5526" w14:textId="77777777" w:rsidR="00C75B69" w:rsidRPr="00804996" w:rsidRDefault="00B46DB0" w:rsidP="00AD4B58">
      <w:pPr>
        <w:suppressAutoHyphens/>
        <w:ind w:left="567" w:hanging="567"/>
      </w:pPr>
      <w:r w:rsidRPr="00804996">
        <w:rPr>
          <w:b/>
        </w:rPr>
        <w:t>6.4</w:t>
      </w:r>
      <w:r w:rsidRPr="00804996">
        <w:rPr>
          <w:b/>
        </w:rPr>
        <w:tab/>
        <w:t>Precauzioni particolari per la conservazione</w:t>
      </w:r>
    </w:p>
    <w:p w14:paraId="49F26DC4" w14:textId="77777777" w:rsidR="00C75B69" w:rsidRPr="00804996" w:rsidRDefault="00C75B69" w:rsidP="00AD4B58">
      <w:pPr>
        <w:rPr>
          <w:i/>
          <w:iCs/>
        </w:rPr>
      </w:pPr>
    </w:p>
    <w:p w14:paraId="7469E5AC" w14:textId="77777777" w:rsidR="00C75B69" w:rsidRDefault="005441AB" w:rsidP="00AD4B58">
      <w:pPr>
        <w:suppressAutoHyphens/>
        <w:rPr>
          <w:noProof/>
        </w:rPr>
      </w:pPr>
      <w:r w:rsidRPr="005441AB">
        <w:rPr>
          <w:noProof/>
        </w:rPr>
        <w:t>Conservare nella confezione originale per proteggere il medicinale dall</w:t>
      </w:r>
      <w:r w:rsidR="00393B71">
        <w:rPr>
          <w:noProof/>
        </w:rPr>
        <w:t>’</w:t>
      </w:r>
      <w:r w:rsidRPr="005441AB">
        <w:rPr>
          <w:noProof/>
        </w:rPr>
        <w:t>umidità.</w:t>
      </w:r>
    </w:p>
    <w:p w14:paraId="1D9CDFC9" w14:textId="77777777" w:rsidR="005441AB" w:rsidRDefault="005441AB" w:rsidP="00AD4B58">
      <w:pPr>
        <w:suppressAutoHyphens/>
      </w:pPr>
    </w:p>
    <w:p w14:paraId="2641F5DE" w14:textId="77777777" w:rsidR="005A0AF0" w:rsidRDefault="005A0AF0" w:rsidP="00AD4B58">
      <w:pPr>
        <w:suppressAutoHyphens/>
        <w:rPr>
          <w:noProof/>
        </w:rPr>
      </w:pPr>
      <w:r>
        <w:rPr>
          <w:noProof/>
        </w:rPr>
        <w:t>Questo medicinale non richiede alcuna condizione particolare di conservazione.</w:t>
      </w:r>
    </w:p>
    <w:p w14:paraId="4B8202F0" w14:textId="77777777" w:rsidR="005A0AF0" w:rsidRPr="00804996" w:rsidRDefault="005A0AF0" w:rsidP="00AD4B58">
      <w:pPr>
        <w:suppressAutoHyphens/>
      </w:pPr>
    </w:p>
    <w:p w14:paraId="55B7A15B" w14:textId="77777777" w:rsidR="00033D30" w:rsidRPr="00804996" w:rsidRDefault="00B46DB0" w:rsidP="005016FC">
      <w:pPr>
        <w:ind w:left="567" w:hanging="567"/>
        <w:outlineLvl w:val="0"/>
        <w:rPr>
          <w:b/>
        </w:rPr>
      </w:pPr>
      <w:r w:rsidRPr="00804996">
        <w:rPr>
          <w:b/>
        </w:rPr>
        <w:t>6.5</w:t>
      </w:r>
      <w:r w:rsidRPr="00804996">
        <w:rPr>
          <w:b/>
        </w:rPr>
        <w:tab/>
        <w:t>Natura e contenuto del contenitore</w:t>
      </w:r>
      <w:r w:rsidR="0073066D" w:rsidRPr="00804996">
        <w:rPr>
          <w:b/>
        </w:rPr>
        <w:t xml:space="preserve"> </w:t>
      </w:r>
    </w:p>
    <w:p w14:paraId="00B5F6AE" w14:textId="77777777" w:rsidR="00C75B69" w:rsidRDefault="00C75B69" w:rsidP="00AD4B58">
      <w:pPr>
        <w:suppressAutoHyphens/>
      </w:pPr>
    </w:p>
    <w:p w14:paraId="5FC523C9" w14:textId="28C01D35" w:rsidR="00EA2C66" w:rsidRDefault="00EA2C66" w:rsidP="00EA2C66">
      <w:pPr>
        <w:suppressAutoHyphens/>
      </w:pPr>
      <w:r>
        <w:t xml:space="preserve">Le compresse sublinguali di </w:t>
      </w:r>
      <w:proofErr w:type="spellStart"/>
      <w:r>
        <w:t>Sublifen</w:t>
      </w:r>
      <w:proofErr w:type="spellEnd"/>
      <w:r>
        <w:t xml:space="preserve"> sono confezionate in blister </w:t>
      </w:r>
      <w:r w:rsidR="00A25660">
        <w:t>(PA/Al/PVC)</w:t>
      </w:r>
      <w:r w:rsidR="00A25660" w:rsidRPr="00EA2C66">
        <w:t xml:space="preserve"> </w:t>
      </w:r>
      <w:r>
        <w:t>a prova di bambino t</w:t>
      </w:r>
      <w:r w:rsidRPr="00EA2C66">
        <w:t>ermosa</w:t>
      </w:r>
      <w:r>
        <w:t xml:space="preserve">ldati ad una pellicola (Al/PET), contenuti in una confezione esterna di cartone. </w:t>
      </w:r>
    </w:p>
    <w:p w14:paraId="28FAC72A" w14:textId="77777777" w:rsidR="00EA2C66" w:rsidRDefault="00EA2C66" w:rsidP="00EA2C66">
      <w:pPr>
        <w:suppressAutoHyphens/>
      </w:pPr>
    </w:p>
    <w:p w14:paraId="37B75FD7" w14:textId="0DE4F682" w:rsidR="00EA2C66" w:rsidRPr="00EA2C66" w:rsidRDefault="00EA2C66" w:rsidP="00EA2C66">
      <w:pPr>
        <w:rPr>
          <w:noProof/>
          <w:szCs w:val="22"/>
        </w:rPr>
      </w:pPr>
      <w:r w:rsidRPr="00EA2C66">
        <w:rPr>
          <w:noProof/>
          <w:szCs w:val="22"/>
        </w:rPr>
        <w:t>Sublifen 100</w:t>
      </w:r>
      <w:r w:rsidR="00843F80">
        <w:rPr>
          <w:noProof/>
          <w:szCs w:val="22"/>
        </w:rPr>
        <w:t> </w:t>
      </w:r>
      <w:r w:rsidRPr="00EA2C66">
        <w:rPr>
          <w:noProof/>
          <w:szCs w:val="22"/>
        </w:rPr>
        <w:t>microgrammi è disponibile in scatole da 5</w:t>
      </w:r>
      <w:r>
        <w:rPr>
          <w:noProof/>
          <w:szCs w:val="22"/>
        </w:rPr>
        <w:t xml:space="preserve"> </w:t>
      </w:r>
      <w:r w:rsidRPr="00EA2C66">
        <w:rPr>
          <w:noProof/>
          <w:szCs w:val="22"/>
        </w:rPr>
        <w:t>x</w:t>
      </w:r>
      <w:r>
        <w:rPr>
          <w:noProof/>
          <w:szCs w:val="22"/>
        </w:rPr>
        <w:t xml:space="preserve"> </w:t>
      </w:r>
      <w:r w:rsidRPr="00EA2C66">
        <w:rPr>
          <w:noProof/>
          <w:szCs w:val="22"/>
        </w:rPr>
        <w:t>1,</w:t>
      </w:r>
      <w:r>
        <w:rPr>
          <w:noProof/>
          <w:szCs w:val="22"/>
        </w:rPr>
        <w:t xml:space="preserve"> </w:t>
      </w:r>
      <w:r w:rsidRPr="00EA2C66">
        <w:rPr>
          <w:noProof/>
          <w:szCs w:val="22"/>
        </w:rPr>
        <w:t>10</w:t>
      </w:r>
      <w:r>
        <w:rPr>
          <w:noProof/>
          <w:szCs w:val="22"/>
        </w:rPr>
        <w:t xml:space="preserve"> </w:t>
      </w:r>
      <w:r w:rsidRPr="00EA2C66">
        <w:rPr>
          <w:noProof/>
          <w:szCs w:val="22"/>
        </w:rPr>
        <w:t>x</w:t>
      </w:r>
      <w:r>
        <w:rPr>
          <w:noProof/>
          <w:szCs w:val="22"/>
        </w:rPr>
        <w:t xml:space="preserve"> </w:t>
      </w:r>
      <w:r w:rsidRPr="00EA2C66">
        <w:rPr>
          <w:noProof/>
          <w:szCs w:val="22"/>
        </w:rPr>
        <w:t>1 e 30</w:t>
      </w:r>
      <w:r>
        <w:rPr>
          <w:noProof/>
          <w:szCs w:val="22"/>
        </w:rPr>
        <w:t xml:space="preserve"> </w:t>
      </w:r>
      <w:r w:rsidRPr="00EA2C66">
        <w:rPr>
          <w:noProof/>
          <w:szCs w:val="22"/>
        </w:rPr>
        <w:t>x</w:t>
      </w:r>
      <w:r>
        <w:rPr>
          <w:noProof/>
          <w:szCs w:val="22"/>
        </w:rPr>
        <w:t xml:space="preserve"> </w:t>
      </w:r>
      <w:r w:rsidRPr="00EA2C66">
        <w:rPr>
          <w:noProof/>
          <w:szCs w:val="22"/>
        </w:rPr>
        <w:t>1 compresse</w:t>
      </w:r>
    </w:p>
    <w:p w14:paraId="10E47CD2" w14:textId="23D18284" w:rsidR="00EA2C66" w:rsidRPr="00EA2C66" w:rsidRDefault="00EA2C66" w:rsidP="00EA2C66">
      <w:pPr>
        <w:rPr>
          <w:noProof/>
          <w:szCs w:val="22"/>
          <w:shd w:val="clear" w:color="auto" w:fill="F2F2F2" w:themeFill="background1" w:themeFillShade="F2"/>
        </w:rPr>
      </w:pPr>
      <w:r w:rsidRPr="00EA2C66">
        <w:rPr>
          <w:noProof/>
          <w:szCs w:val="22"/>
          <w:shd w:val="clear" w:color="auto" w:fill="F2F2F2" w:themeFill="background1" w:themeFillShade="F2"/>
        </w:rPr>
        <w:t xml:space="preserve">Sublifen </w:t>
      </w:r>
      <w:r w:rsidRPr="00D0367B">
        <w:rPr>
          <w:noProof/>
          <w:szCs w:val="22"/>
          <w:shd w:val="clear" w:color="auto" w:fill="F2F2F2" w:themeFill="background1" w:themeFillShade="F2"/>
        </w:rPr>
        <w:t>200</w:t>
      </w:r>
      <w:r w:rsidR="00843F80">
        <w:rPr>
          <w:noProof/>
          <w:szCs w:val="22"/>
          <w:shd w:val="clear" w:color="auto" w:fill="F2F2F2" w:themeFill="background1" w:themeFillShade="F2"/>
        </w:rPr>
        <w:t> </w:t>
      </w:r>
      <w:r w:rsidRPr="00D0367B">
        <w:rPr>
          <w:noProof/>
          <w:szCs w:val="22"/>
          <w:shd w:val="clear" w:color="auto" w:fill="F2F2F2" w:themeFill="background1" w:themeFillShade="F2"/>
        </w:rPr>
        <w:t xml:space="preserve">microgrammi è </w:t>
      </w:r>
      <w:r w:rsidRPr="00EA2C66">
        <w:rPr>
          <w:shd w:val="clear" w:color="auto" w:fill="F2F2F2" w:themeFill="background1" w:themeFillShade="F2"/>
        </w:rPr>
        <w:t>disponibile in scatole da</w:t>
      </w:r>
      <w:r w:rsidRPr="00EA2C66">
        <w:rPr>
          <w:noProof/>
          <w:szCs w:val="22"/>
          <w:shd w:val="clear" w:color="auto" w:fill="F2F2F2" w:themeFill="background1" w:themeFillShade="F2"/>
        </w:rPr>
        <w:t xml:space="preserve"> 5 x 1,</w:t>
      </w:r>
      <w:r>
        <w:rPr>
          <w:noProof/>
          <w:szCs w:val="22"/>
          <w:shd w:val="clear" w:color="auto" w:fill="F2F2F2" w:themeFill="background1" w:themeFillShade="F2"/>
        </w:rPr>
        <w:t xml:space="preserve"> </w:t>
      </w:r>
      <w:r w:rsidRPr="00EA2C66">
        <w:rPr>
          <w:noProof/>
          <w:szCs w:val="22"/>
          <w:shd w:val="clear" w:color="auto" w:fill="F2F2F2" w:themeFill="background1" w:themeFillShade="F2"/>
        </w:rPr>
        <w:t xml:space="preserve">10 x 1 </w:t>
      </w:r>
      <w:r>
        <w:rPr>
          <w:noProof/>
          <w:szCs w:val="22"/>
          <w:shd w:val="clear" w:color="auto" w:fill="F2F2F2" w:themeFill="background1" w:themeFillShade="F2"/>
        </w:rPr>
        <w:t>e</w:t>
      </w:r>
      <w:r w:rsidRPr="00EA2C66">
        <w:rPr>
          <w:noProof/>
          <w:szCs w:val="22"/>
          <w:shd w:val="clear" w:color="auto" w:fill="F2F2F2" w:themeFill="background1" w:themeFillShade="F2"/>
        </w:rPr>
        <w:t xml:space="preserve"> 30 x 1 </w:t>
      </w:r>
      <w:r>
        <w:rPr>
          <w:noProof/>
          <w:szCs w:val="22"/>
          <w:shd w:val="clear" w:color="auto" w:fill="F2F2F2" w:themeFill="background1" w:themeFillShade="F2"/>
        </w:rPr>
        <w:t>compresse</w:t>
      </w:r>
    </w:p>
    <w:p w14:paraId="2895433B" w14:textId="3788B8A7" w:rsidR="00EA2C66" w:rsidRPr="00EA2C66" w:rsidRDefault="00EA2C66" w:rsidP="00EA2C66">
      <w:r w:rsidRPr="00EA2C66">
        <w:rPr>
          <w:noProof/>
          <w:shd w:val="clear" w:color="auto" w:fill="D9D9D9" w:themeFill="background1" w:themeFillShade="D9"/>
        </w:rPr>
        <w:t>Sublifen 300</w:t>
      </w:r>
      <w:r w:rsidR="00843F80" w:rsidRPr="00D0367B">
        <w:rPr>
          <w:noProof/>
          <w:shd w:val="clear" w:color="auto" w:fill="D9D9D9" w:themeFill="background1" w:themeFillShade="D9"/>
        </w:rPr>
        <w:t> </w:t>
      </w:r>
      <w:r w:rsidRPr="00EA2C66">
        <w:rPr>
          <w:noProof/>
          <w:shd w:val="clear" w:color="auto" w:fill="D9D9D9" w:themeFill="background1" w:themeFillShade="D9"/>
        </w:rPr>
        <w:t>mic</w:t>
      </w:r>
      <w:proofErr w:type="spellStart"/>
      <w:r w:rsidRPr="00EA2C66">
        <w:rPr>
          <w:shd w:val="clear" w:color="auto" w:fill="D9D9D9" w:themeFill="background1" w:themeFillShade="D9"/>
        </w:rPr>
        <w:t>rogrammi</w:t>
      </w:r>
      <w:proofErr w:type="spellEnd"/>
      <w:r w:rsidRPr="00EA2C66">
        <w:rPr>
          <w:shd w:val="clear" w:color="auto" w:fill="D9D9D9" w:themeFill="background1" w:themeFillShade="D9"/>
        </w:rPr>
        <w:t xml:space="preserve"> è disponibile in scatole da 10 x 1 </w:t>
      </w:r>
      <w:r>
        <w:rPr>
          <w:shd w:val="clear" w:color="auto" w:fill="D9D9D9" w:themeFill="background1" w:themeFillShade="D9"/>
        </w:rPr>
        <w:t>e</w:t>
      </w:r>
      <w:r w:rsidRPr="00EA2C66">
        <w:rPr>
          <w:shd w:val="clear" w:color="auto" w:fill="D9D9D9" w:themeFill="background1" w:themeFillShade="D9"/>
        </w:rPr>
        <w:t xml:space="preserve"> 30 x 1 </w:t>
      </w:r>
      <w:r>
        <w:rPr>
          <w:shd w:val="clear" w:color="auto" w:fill="D9D9D9" w:themeFill="background1" w:themeFillShade="D9"/>
        </w:rPr>
        <w:t>compresse</w:t>
      </w:r>
    </w:p>
    <w:p w14:paraId="0140F818" w14:textId="1320A913" w:rsidR="00EA2C66" w:rsidRPr="00EA2C66" w:rsidRDefault="00EA2C66" w:rsidP="00EA2C66">
      <w:proofErr w:type="spellStart"/>
      <w:r w:rsidRPr="00EA2C66">
        <w:rPr>
          <w:shd w:val="clear" w:color="auto" w:fill="BFBFBF" w:themeFill="background1" w:themeFillShade="BF"/>
        </w:rPr>
        <w:t>Sublifen</w:t>
      </w:r>
      <w:proofErr w:type="spellEnd"/>
      <w:r w:rsidRPr="00EA2C66">
        <w:rPr>
          <w:shd w:val="clear" w:color="auto" w:fill="BFBFBF" w:themeFill="background1" w:themeFillShade="BF"/>
        </w:rPr>
        <w:t xml:space="preserve"> 400</w:t>
      </w:r>
      <w:r w:rsidR="00843F80">
        <w:rPr>
          <w:shd w:val="clear" w:color="auto" w:fill="BFBFBF" w:themeFill="background1" w:themeFillShade="BF"/>
        </w:rPr>
        <w:t> </w:t>
      </w:r>
      <w:r w:rsidRPr="00EA2C66">
        <w:rPr>
          <w:shd w:val="clear" w:color="auto" w:fill="BFBFBF" w:themeFill="background1" w:themeFillShade="BF"/>
        </w:rPr>
        <w:t>microgrammi è disponibile in scatole da 5 x 1,</w:t>
      </w:r>
      <w:r>
        <w:rPr>
          <w:shd w:val="clear" w:color="auto" w:fill="BFBFBF" w:themeFill="background1" w:themeFillShade="BF"/>
        </w:rPr>
        <w:t xml:space="preserve"> </w:t>
      </w:r>
      <w:r w:rsidRPr="00EA2C66">
        <w:rPr>
          <w:shd w:val="clear" w:color="auto" w:fill="BFBFBF" w:themeFill="background1" w:themeFillShade="BF"/>
        </w:rPr>
        <w:t xml:space="preserve">10 x 1 </w:t>
      </w:r>
      <w:r>
        <w:rPr>
          <w:shd w:val="clear" w:color="auto" w:fill="BFBFBF" w:themeFill="background1" w:themeFillShade="BF"/>
        </w:rPr>
        <w:t>e</w:t>
      </w:r>
      <w:r w:rsidRPr="00EA2C66">
        <w:rPr>
          <w:shd w:val="clear" w:color="auto" w:fill="BFBFBF" w:themeFill="background1" w:themeFillShade="BF"/>
        </w:rPr>
        <w:t xml:space="preserve"> 30 x 1 </w:t>
      </w:r>
      <w:r>
        <w:rPr>
          <w:shd w:val="clear" w:color="auto" w:fill="BFBFBF" w:themeFill="background1" w:themeFillShade="BF"/>
        </w:rPr>
        <w:t>compresse</w:t>
      </w:r>
    </w:p>
    <w:p w14:paraId="347A5309" w14:textId="77777777" w:rsidR="00EA2C66" w:rsidRPr="00EA2C66" w:rsidRDefault="00EA2C66" w:rsidP="00EA2C66">
      <w:pPr>
        <w:suppressAutoHyphens/>
      </w:pPr>
    </w:p>
    <w:p w14:paraId="53D06174" w14:textId="77777777" w:rsidR="00C75B69" w:rsidRPr="00804996" w:rsidRDefault="00B46DB0" w:rsidP="00AD4B58">
      <w:pPr>
        <w:pStyle w:val="Intestazione"/>
        <w:widowControl/>
        <w:tabs>
          <w:tab w:val="clear" w:pos="567"/>
          <w:tab w:val="clear" w:pos="4153"/>
          <w:tab w:val="clear" w:pos="8306"/>
        </w:tabs>
        <w:suppressAutoHyphens/>
        <w:rPr>
          <w:rFonts w:ascii="Times New Roman" w:hAnsi="Times New Roman"/>
        </w:rPr>
      </w:pPr>
      <w:r w:rsidRPr="00804996">
        <w:rPr>
          <w:rFonts w:ascii="Times New Roman" w:hAnsi="Times New Roman"/>
        </w:rPr>
        <w:t>È possibile che non tutte le con</w:t>
      </w:r>
      <w:r w:rsidR="00EA2C66">
        <w:rPr>
          <w:rFonts w:ascii="Times New Roman" w:hAnsi="Times New Roman"/>
        </w:rPr>
        <w:t>fezioni siano commercializzate.</w:t>
      </w:r>
    </w:p>
    <w:p w14:paraId="7C3774AB" w14:textId="77777777" w:rsidR="00C75B69" w:rsidRPr="00804996" w:rsidRDefault="00C75B69" w:rsidP="00AD4B58"/>
    <w:p w14:paraId="7683BE40" w14:textId="77777777" w:rsidR="00C75B69" w:rsidRPr="00804996" w:rsidRDefault="00B46DB0" w:rsidP="00AD4B58">
      <w:pPr>
        <w:suppressAutoHyphens/>
        <w:ind w:left="567" w:hanging="567"/>
        <w:rPr>
          <w:noProof/>
        </w:rPr>
      </w:pPr>
      <w:r w:rsidRPr="00804996">
        <w:rPr>
          <w:b/>
        </w:rPr>
        <w:t>6.6</w:t>
      </w:r>
      <w:r w:rsidRPr="00804996">
        <w:rPr>
          <w:b/>
        </w:rPr>
        <w:tab/>
      </w:r>
      <w:r w:rsidRPr="00804996">
        <w:rPr>
          <w:b/>
          <w:noProof/>
        </w:rPr>
        <w:t xml:space="preserve">Precauzioni particolari per lo smaltimento </w:t>
      </w:r>
      <w:r w:rsidRPr="00804996">
        <w:rPr>
          <w:b/>
        </w:rPr>
        <w:t>e la manipolazione</w:t>
      </w:r>
    </w:p>
    <w:p w14:paraId="3726A073" w14:textId="77777777" w:rsidR="00C75B69" w:rsidRPr="00804996" w:rsidRDefault="00C75B69" w:rsidP="00AD4B58">
      <w:pPr>
        <w:suppressAutoHyphens/>
      </w:pPr>
    </w:p>
    <w:p w14:paraId="5FE637B6" w14:textId="77777777" w:rsidR="00D15806" w:rsidRDefault="00D15806" w:rsidP="00D15806">
      <w:pPr>
        <w:suppressAutoHyphens/>
      </w:pPr>
      <w:r>
        <w:t>I materiali di rifiuto devono essere smaltiti in maniera sicura. I pazienti e coloro che li assistono devono essere esortati a restituire eventuale prodotto non utilizzato alla farmacia, dove deve essere</w:t>
      </w:r>
      <w:r w:rsidR="00BC727F">
        <w:t xml:space="preserve"> </w:t>
      </w:r>
      <w:r>
        <w:t>smaltito sulla base delle normative nazionali e locali.</w:t>
      </w:r>
    </w:p>
    <w:p w14:paraId="1DF43C74" w14:textId="77777777" w:rsidR="00C75B69" w:rsidRPr="00804996" w:rsidRDefault="00C75B69" w:rsidP="00AD4B58">
      <w:pPr>
        <w:suppressAutoHyphens/>
      </w:pPr>
    </w:p>
    <w:p w14:paraId="3DBFE0DE" w14:textId="77777777" w:rsidR="00C75B69" w:rsidRPr="00804996" w:rsidRDefault="00C75B69" w:rsidP="00AD4B58">
      <w:pPr>
        <w:suppressAutoHyphens/>
      </w:pPr>
    </w:p>
    <w:p w14:paraId="05227D5E" w14:textId="77777777" w:rsidR="00C75B69" w:rsidRPr="00804996" w:rsidRDefault="00B46DB0" w:rsidP="00AD4B58">
      <w:pPr>
        <w:suppressAutoHyphens/>
        <w:ind w:left="567" w:hanging="567"/>
      </w:pPr>
      <w:r w:rsidRPr="00804996">
        <w:rPr>
          <w:b/>
        </w:rPr>
        <w:t>7.</w:t>
      </w:r>
      <w:r w:rsidRPr="00804996">
        <w:rPr>
          <w:b/>
        </w:rPr>
        <w:tab/>
        <w:t>TITOLARE DELL</w:t>
      </w:r>
      <w:r w:rsidR="00393B71">
        <w:rPr>
          <w:b/>
        </w:rPr>
        <w:t>’</w:t>
      </w:r>
      <w:r w:rsidRPr="00804996">
        <w:rPr>
          <w:b/>
        </w:rPr>
        <w:t>AUTORIZZAZIONE ALL</w:t>
      </w:r>
      <w:r w:rsidR="00393B71">
        <w:rPr>
          <w:b/>
        </w:rPr>
        <w:t>’</w:t>
      </w:r>
      <w:r w:rsidRPr="00804996">
        <w:rPr>
          <w:b/>
        </w:rPr>
        <w:t>IMMISSIONE IN COMMERCIO</w:t>
      </w:r>
    </w:p>
    <w:p w14:paraId="17303506" w14:textId="77777777" w:rsidR="00C75B69" w:rsidRPr="00804996" w:rsidRDefault="00C75B69" w:rsidP="00AD4B58"/>
    <w:p w14:paraId="2F6EF1A9" w14:textId="7EE320E6" w:rsidR="001B52EB" w:rsidRPr="003134F3" w:rsidRDefault="001B52EB" w:rsidP="001B52EB">
      <w:pPr>
        <w:suppressAutoHyphens/>
      </w:pPr>
      <w:r w:rsidRPr="00D0367B">
        <w:rPr>
          <w:sz w:val="23"/>
          <w:szCs w:val="23"/>
          <w:lang w:val="de-DE"/>
        </w:rPr>
        <w:t xml:space="preserve">G.L. Pharma GmbH, </w:t>
      </w:r>
      <w:proofErr w:type="spellStart"/>
      <w:r w:rsidRPr="003134F3">
        <w:rPr>
          <w:bdr w:val="nil"/>
        </w:rPr>
        <w:t>Schlossplatz</w:t>
      </w:r>
      <w:proofErr w:type="spellEnd"/>
      <w:r w:rsidRPr="003134F3">
        <w:rPr>
          <w:bdr w:val="nil"/>
        </w:rPr>
        <w:t xml:space="preserve"> 1, </w:t>
      </w:r>
      <w:r w:rsidRPr="003134F3">
        <w:rPr>
          <w:sz w:val="23"/>
          <w:szCs w:val="23"/>
        </w:rPr>
        <w:t xml:space="preserve">8502 </w:t>
      </w:r>
      <w:proofErr w:type="spellStart"/>
      <w:r w:rsidRPr="003134F3">
        <w:rPr>
          <w:sz w:val="23"/>
          <w:szCs w:val="23"/>
        </w:rPr>
        <w:t>Lannach</w:t>
      </w:r>
      <w:proofErr w:type="spellEnd"/>
      <w:r w:rsidR="000D422F">
        <w:rPr>
          <w:sz w:val="23"/>
          <w:szCs w:val="23"/>
        </w:rPr>
        <w:t>,</w:t>
      </w:r>
      <w:r w:rsidRPr="003134F3">
        <w:rPr>
          <w:sz w:val="23"/>
          <w:szCs w:val="23"/>
        </w:rPr>
        <w:t xml:space="preserve"> Austria</w:t>
      </w:r>
    </w:p>
    <w:p w14:paraId="4E39A900" w14:textId="77777777" w:rsidR="00C75B69" w:rsidRPr="003134F3" w:rsidRDefault="00C75B69" w:rsidP="00AD4B58">
      <w:pPr>
        <w:suppressAutoHyphens/>
      </w:pPr>
    </w:p>
    <w:p w14:paraId="15153F37" w14:textId="77777777" w:rsidR="00C75B69" w:rsidRPr="003134F3" w:rsidRDefault="00C75B69" w:rsidP="00AD4B58">
      <w:pPr>
        <w:suppressAutoHyphens/>
      </w:pPr>
    </w:p>
    <w:p w14:paraId="6B26EF21" w14:textId="77777777" w:rsidR="00C75B69" w:rsidRPr="00804996" w:rsidRDefault="00B46DB0" w:rsidP="00AD4B58">
      <w:pPr>
        <w:suppressAutoHyphens/>
        <w:ind w:left="567" w:hanging="567"/>
      </w:pPr>
      <w:r w:rsidRPr="00804996">
        <w:rPr>
          <w:b/>
        </w:rPr>
        <w:t>8.</w:t>
      </w:r>
      <w:r w:rsidRPr="00804996">
        <w:rPr>
          <w:b/>
        </w:rPr>
        <w:tab/>
        <w:t>NUMERO(I) DELL</w:t>
      </w:r>
      <w:r w:rsidR="00393B71">
        <w:rPr>
          <w:b/>
        </w:rPr>
        <w:t>’</w:t>
      </w:r>
      <w:r w:rsidRPr="00804996">
        <w:rPr>
          <w:b/>
        </w:rPr>
        <w:t>AUTORIZZAZIONE ALL</w:t>
      </w:r>
      <w:r w:rsidR="00393B71">
        <w:rPr>
          <w:b/>
        </w:rPr>
        <w:t>’</w:t>
      </w:r>
      <w:r w:rsidRPr="00804996">
        <w:rPr>
          <w:b/>
        </w:rPr>
        <w:t>IMMISSIONE IN COMMERCIO</w:t>
      </w:r>
    </w:p>
    <w:p w14:paraId="4FB0B023" w14:textId="77777777" w:rsidR="00C75B69" w:rsidRPr="00804996" w:rsidRDefault="00C75B69" w:rsidP="00AD4B58">
      <w:pPr>
        <w:suppressAutoHyphens/>
      </w:pPr>
    </w:p>
    <w:p w14:paraId="3D243836" w14:textId="2A3A3F34" w:rsidR="00F83DA3" w:rsidRDefault="00F83DA3" w:rsidP="00F83DA3">
      <w:pPr>
        <w:suppressAutoHyphens/>
      </w:pPr>
      <w:r>
        <w:t xml:space="preserve">049018017 </w:t>
      </w:r>
      <w:r w:rsidR="002860F8">
        <w:t>–</w:t>
      </w:r>
      <w:r>
        <w:t xml:space="preserve"> 100</w:t>
      </w:r>
      <w:r w:rsidR="002860F8">
        <w:t xml:space="preserve"> microgrammi compresse sublinguali, 5x1 compresse in blister </w:t>
      </w:r>
      <w:r>
        <w:t>PA/A</w:t>
      </w:r>
      <w:r w:rsidR="00C968F8">
        <w:t>l</w:t>
      </w:r>
      <w:r>
        <w:t>/PVC/A</w:t>
      </w:r>
      <w:r w:rsidR="00C968F8">
        <w:t>l</w:t>
      </w:r>
      <w:r>
        <w:t>/PET</w:t>
      </w:r>
    </w:p>
    <w:p w14:paraId="318D4842" w14:textId="77777777" w:rsidR="00F83DA3" w:rsidRDefault="00F83DA3" w:rsidP="00F83DA3">
      <w:pPr>
        <w:suppressAutoHyphens/>
      </w:pPr>
    </w:p>
    <w:p w14:paraId="1419E13F" w14:textId="24F6F7B2" w:rsidR="00F83DA3" w:rsidRDefault="00F83DA3" w:rsidP="00F83DA3">
      <w:pPr>
        <w:suppressAutoHyphens/>
      </w:pPr>
      <w:r>
        <w:t xml:space="preserve">049018029 </w:t>
      </w:r>
      <w:r w:rsidR="002860F8">
        <w:t>–</w:t>
      </w:r>
      <w:r>
        <w:t xml:space="preserve"> 100</w:t>
      </w:r>
      <w:r w:rsidR="002860F8">
        <w:t> microgrammi compresse sublinguali, 10x1 compresse in blister</w:t>
      </w:r>
      <w:r>
        <w:t xml:space="preserve"> PA/A</w:t>
      </w:r>
      <w:r w:rsidR="00C968F8">
        <w:t>l</w:t>
      </w:r>
      <w:r>
        <w:t>/PVC/A</w:t>
      </w:r>
      <w:r w:rsidR="00C968F8">
        <w:t>l</w:t>
      </w:r>
      <w:r>
        <w:t>/PET</w:t>
      </w:r>
    </w:p>
    <w:p w14:paraId="3FE2FC7D" w14:textId="77777777" w:rsidR="00F83DA3" w:rsidRDefault="00F83DA3" w:rsidP="00F83DA3">
      <w:pPr>
        <w:suppressAutoHyphens/>
      </w:pPr>
    </w:p>
    <w:p w14:paraId="01FD0FA5" w14:textId="0D1508F6" w:rsidR="00F83DA3" w:rsidRDefault="00F83DA3" w:rsidP="00F83DA3">
      <w:pPr>
        <w:suppressAutoHyphens/>
      </w:pPr>
      <w:r>
        <w:t xml:space="preserve">049018031 </w:t>
      </w:r>
      <w:r w:rsidR="002860F8">
        <w:t xml:space="preserve">– </w:t>
      </w:r>
      <w:r>
        <w:t>100</w:t>
      </w:r>
      <w:r w:rsidR="002860F8">
        <w:t xml:space="preserve"> microgrammi compresse sublinguali, 30x1 compresse in blister </w:t>
      </w:r>
      <w:r>
        <w:t>PA/A</w:t>
      </w:r>
      <w:r w:rsidR="00C968F8">
        <w:t>l</w:t>
      </w:r>
      <w:r>
        <w:t>/PVC/A</w:t>
      </w:r>
      <w:r w:rsidR="00C968F8">
        <w:t>l</w:t>
      </w:r>
      <w:r>
        <w:t>/PET</w:t>
      </w:r>
    </w:p>
    <w:p w14:paraId="644DE450" w14:textId="77777777" w:rsidR="00F83DA3" w:rsidRDefault="00F83DA3" w:rsidP="00F83DA3">
      <w:pPr>
        <w:suppressAutoHyphens/>
      </w:pPr>
    </w:p>
    <w:p w14:paraId="1B3CB3D3" w14:textId="429BE51C" w:rsidR="00F83DA3" w:rsidRDefault="00F83DA3" w:rsidP="00F83DA3">
      <w:pPr>
        <w:suppressAutoHyphens/>
      </w:pPr>
      <w:r>
        <w:t xml:space="preserve">049018043 </w:t>
      </w:r>
      <w:r w:rsidR="002860F8">
        <w:t>–</w:t>
      </w:r>
      <w:r>
        <w:t xml:space="preserve"> 200</w:t>
      </w:r>
      <w:r w:rsidR="002860F8">
        <w:t xml:space="preserve"> microgrammi compresse sublinguali, 5x1 compresse in blister </w:t>
      </w:r>
      <w:r>
        <w:t>PA/A</w:t>
      </w:r>
      <w:r w:rsidR="00C968F8">
        <w:t>l</w:t>
      </w:r>
      <w:r>
        <w:t>/PVC/A</w:t>
      </w:r>
      <w:r w:rsidR="00C968F8">
        <w:t>l</w:t>
      </w:r>
      <w:r>
        <w:t>/PET</w:t>
      </w:r>
    </w:p>
    <w:p w14:paraId="02CB5935" w14:textId="77777777" w:rsidR="00F83DA3" w:rsidRDefault="00F83DA3" w:rsidP="00F83DA3">
      <w:pPr>
        <w:suppressAutoHyphens/>
      </w:pPr>
    </w:p>
    <w:p w14:paraId="4E29F888" w14:textId="738F357E" w:rsidR="00F83DA3" w:rsidRDefault="00F83DA3" w:rsidP="00F83DA3">
      <w:pPr>
        <w:suppressAutoHyphens/>
      </w:pPr>
      <w:r>
        <w:t xml:space="preserve">049018056 </w:t>
      </w:r>
      <w:r w:rsidR="002860F8">
        <w:t>–</w:t>
      </w:r>
      <w:r>
        <w:t xml:space="preserve"> 200</w:t>
      </w:r>
      <w:r w:rsidR="002860F8">
        <w:t> microgrammi compresse sublinguali, 10x1 compresse in blister</w:t>
      </w:r>
      <w:r>
        <w:t xml:space="preserve"> PA/A</w:t>
      </w:r>
      <w:r w:rsidR="00C968F8">
        <w:t>l</w:t>
      </w:r>
      <w:r>
        <w:t>/PVC/A</w:t>
      </w:r>
      <w:r w:rsidR="00C968F8">
        <w:t>l</w:t>
      </w:r>
      <w:r>
        <w:t>/PET</w:t>
      </w:r>
    </w:p>
    <w:p w14:paraId="3B304EAD" w14:textId="77777777" w:rsidR="00F83DA3" w:rsidRDefault="00F83DA3" w:rsidP="00F83DA3">
      <w:pPr>
        <w:suppressAutoHyphens/>
      </w:pPr>
    </w:p>
    <w:p w14:paraId="47472873" w14:textId="4EB1C380" w:rsidR="00F83DA3" w:rsidRDefault="00F83DA3" w:rsidP="00F83DA3">
      <w:pPr>
        <w:suppressAutoHyphens/>
      </w:pPr>
      <w:r>
        <w:lastRenderedPageBreak/>
        <w:t xml:space="preserve">049018068 </w:t>
      </w:r>
      <w:r w:rsidR="00BF2AF4">
        <w:t>–</w:t>
      </w:r>
      <w:r>
        <w:t xml:space="preserve"> 200</w:t>
      </w:r>
      <w:r w:rsidR="00BF2AF4">
        <w:t> microgrammi compresse sublinguali, 30x1 compresse in blister</w:t>
      </w:r>
      <w:r>
        <w:t xml:space="preserve"> PA/A</w:t>
      </w:r>
      <w:r w:rsidR="00C968F8">
        <w:t>l</w:t>
      </w:r>
      <w:r>
        <w:t>/PVC/A</w:t>
      </w:r>
      <w:r w:rsidR="00C968F8">
        <w:t>l</w:t>
      </w:r>
      <w:r>
        <w:t>/PET</w:t>
      </w:r>
    </w:p>
    <w:p w14:paraId="0FE7A94F" w14:textId="77777777" w:rsidR="00F83DA3" w:rsidRDefault="00F83DA3" w:rsidP="00F83DA3">
      <w:pPr>
        <w:suppressAutoHyphens/>
      </w:pPr>
    </w:p>
    <w:p w14:paraId="4556F3E5" w14:textId="7F1BB127" w:rsidR="00F83DA3" w:rsidRDefault="00F83DA3" w:rsidP="00F83DA3">
      <w:pPr>
        <w:suppressAutoHyphens/>
      </w:pPr>
      <w:r>
        <w:t xml:space="preserve">049018070 </w:t>
      </w:r>
      <w:r w:rsidR="00BF2AF4">
        <w:t>–</w:t>
      </w:r>
      <w:r>
        <w:t xml:space="preserve"> 30</w:t>
      </w:r>
      <w:r w:rsidR="00BF2AF4">
        <w:t xml:space="preserve">0 microgrammi compresse sublinguali, 10x1 compresse in blister </w:t>
      </w:r>
      <w:r>
        <w:t>PA/A</w:t>
      </w:r>
      <w:r w:rsidR="00C968F8">
        <w:t>l</w:t>
      </w:r>
      <w:r>
        <w:t>/PVC/A</w:t>
      </w:r>
      <w:r w:rsidR="00C968F8">
        <w:t>l</w:t>
      </w:r>
      <w:r>
        <w:t>/PET</w:t>
      </w:r>
    </w:p>
    <w:p w14:paraId="33D77ADF" w14:textId="77777777" w:rsidR="00F83DA3" w:rsidRDefault="00F83DA3" w:rsidP="00F83DA3">
      <w:pPr>
        <w:suppressAutoHyphens/>
      </w:pPr>
    </w:p>
    <w:p w14:paraId="6C919F51" w14:textId="282AE0BD" w:rsidR="00F83DA3" w:rsidRDefault="00F83DA3" w:rsidP="00F83DA3">
      <w:pPr>
        <w:suppressAutoHyphens/>
      </w:pPr>
      <w:r>
        <w:t xml:space="preserve">049018082 </w:t>
      </w:r>
      <w:r w:rsidR="00BF2AF4">
        <w:t>–</w:t>
      </w:r>
      <w:r>
        <w:t xml:space="preserve"> </w:t>
      </w:r>
      <w:r w:rsidR="00BF2AF4">
        <w:t>300 microgrammi compresse sublinguali, 30x1 compresse in blister</w:t>
      </w:r>
      <w:r>
        <w:t xml:space="preserve"> PA/A</w:t>
      </w:r>
      <w:r w:rsidR="00C968F8">
        <w:t>l</w:t>
      </w:r>
      <w:r>
        <w:t>/PVC/A</w:t>
      </w:r>
      <w:r w:rsidR="00C968F8">
        <w:t>l</w:t>
      </w:r>
      <w:r>
        <w:t>/PET</w:t>
      </w:r>
    </w:p>
    <w:p w14:paraId="2999CC41" w14:textId="77777777" w:rsidR="00F83DA3" w:rsidRDefault="00F83DA3" w:rsidP="00F83DA3">
      <w:pPr>
        <w:suppressAutoHyphens/>
      </w:pPr>
    </w:p>
    <w:p w14:paraId="0C3DADC3" w14:textId="1451620F" w:rsidR="00F83DA3" w:rsidRDefault="00F83DA3" w:rsidP="00F83DA3">
      <w:pPr>
        <w:suppressAutoHyphens/>
      </w:pPr>
      <w:r>
        <w:t xml:space="preserve">049018094 </w:t>
      </w:r>
      <w:r w:rsidR="00BF2AF4">
        <w:t>–</w:t>
      </w:r>
      <w:r>
        <w:t xml:space="preserve"> 400</w:t>
      </w:r>
      <w:r w:rsidR="00BF2AF4">
        <w:t> microgrammi compresse sublinguali, 5x1 compresse in blister</w:t>
      </w:r>
      <w:r>
        <w:t xml:space="preserve"> PA/A</w:t>
      </w:r>
      <w:r w:rsidR="00C968F8">
        <w:t>l</w:t>
      </w:r>
      <w:r>
        <w:t>/PVC/A</w:t>
      </w:r>
      <w:r w:rsidR="00C968F8">
        <w:t>l</w:t>
      </w:r>
      <w:r>
        <w:t>/PET</w:t>
      </w:r>
    </w:p>
    <w:p w14:paraId="353FC4A4" w14:textId="77777777" w:rsidR="00F83DA3" w:rsidRDefault="00F83DA3" w:rsidP="00F83DA3">
      <w:pPr>
        <w:suppressAutoHyphens/>
      </w:pPr>
    </w:p>
    <w:p w14:paraId="6A67A742" w14:textId="2BC47565" w:rsidR="00F83DA3" w:rsidRDefault="00F83DA3" w:rsidP="00F83DA3">
      <w:pPr>
        <w:suppressAutoHyphens/>
      </w:pPr>
      <w:r>
        <w:t xml:space="preserve">049018106 </w:t>
      </w:r>
      <w:r w:rsidR="00BF2AF4">
        <w:t>–</w:t>
      </w:r>
      <w:r>
        <w:t xml:space="preserve"> 400</w:t>
      </w:r>
      <w:r w:rsidR="00BF2AF4">
        <w:t> microgrammi compresse sublinguali, 10x1 compresse in blister</w:t>
      </w:r>
      <w:r>
        <w:t xml:space="preserve"> PA/A</w:t>
      </w:r>
      <w:r w:rsidR="00C968F8">
        <w:t>l</w:t>
      </w:r>
      <w:r>
        <w:t>/PVC/A</w:t>
      </w:r>
      <w:r w:rsidR="00C968F8">
        <w:t>l</w:t>
      </w:r>
      <w:r>
        <w:t>/PET</w:t>
      </w:r>
    </w:p>
    <w:p w14:paraId="25888D75" w14:textId="77777777" w:rsidR="00F83DA3" w:rsidRDefault="00F83DA3" w:rsidP="00F83DA3">
      <w:pPr>
        <w:suppressAutoHyphens/>
      </w:pPr>
    </w:p>
    <w:p w14:paraId="1ECD1CA2" w14:textId="21F9C087" w:rsidR="00F83DA3" w:rsidRDefault="00F83DA3" w:rsidP="00F83DA3">
      <w:pPr>
        <w:suppressAutoHyphens/>
      </w:pPr>
      <w:r>
        <w:t xml:space="preserve">049018118 </w:t>
      </w:r>
      <w:r w:rsidR="00BF2AF4">
        <w:t>–</w:t>
      </w:r>
      <w:r>
        <w:t xml:space="preserve"> 400</w:t>
      </w:r>
      <w:r w:rsidR="00BF2AF4">
        <w:t> microgrammi compresse sublinguali, 30x1 compresse in blister</w:t>
      </w:r>
      <w:r>
        <w:t xml:space="preserve"> PA/A</w:t>
      </w:r>
      <w:r w:rsidR="00C968F8">
        <w:t>l</w:t>
      </w:r>
      <w:r>
        <w:t>/PVC/A</w:t>
      </w:r>
      <w:r w:rsidR="00C968F8">
        <w:t>l</w:t>
      </w:r>
      <w:r>
        <w:t>/PET</w:t>
      </w:r>
    </w:p>
    <w:p w14:paraId="727F11CF" w14:textId="77777777" w:rsidR="0034182C" w:rsidRDefault="0034182C" w:rsidP="00AD4B58">
      <w:pPr>
        <w:suppressAutoHyphens/>
      </w:pPr>
    </w:p>
    <w:p w14:paraId="0FDB285D" w14:textId="77777777" w:rsidR="0034182C" w:rsidRPr="00804996" w:rsidRDefault="0034182C" w:rsidP="00AD4B58">
      <w:pPr>
        <w:suppressAutoHyphens/>
      </w:pPr>
    </w:p>
    <w:p w14:paraId="65A83C7E" w14:textId="77777777" w:rsidR="00C75B69" w:rsidRPr="00804996" w:rsidRDefault="00B46DB0" w:rsidP="00AD4B58">
      <w:pPr>
        <w:suppressAutoHyphens/>
        <w:ind w:left="567" w:hanging="567"/>
      </w:pPr>
      <w:r w:rsidRPr="00804996">
        <w:rPr>
          <w:b/>
        </w:rPr>
        <w:t>9.</w:t>
      </w:r>
      <w:r w:rsidRPr="00804996">
        <w:rPr>
          <w:b/>
        </w:rPr>
        <w:tab/>
        <w:t>DATA DELLA PRIMA AUTORIZZAZIONE/ RINNOVO DELL</w:t>
      </w:r>
      <w:r w:rsidR="00393B71">
        <w:rPr>
          <w:b/>
        </w:rPr>
        <w:t>’</w:t>
      </w:r>
      <w:r w:rsidRPr="00804996">
        <w:rPr>
          <w:b/>
        </w:rPr>
        <w:t>AUTORIZZAZIONE</w:t>
      </w:r>
    </w:p>
    <w:p w14:paraId="02259D45" w14:textId="77777777" w:rsidR="0042199F" w:rsidRPr="00804996" w:rsidRDefault="0042199F" w:rsidP="00AD4B58">
      <w:pPr>
        <w:rPr>
          <w:noProof/>
          <w:szCs w:val="24"/>
        </w:rPr>
      </w:pPr>
    </w:p>
    <w:p w14:paraId="780F1E54" w14:textId="4C2BC22A" w:rsidR="00C42D12" w:rsidRPr="00804996" w:rsidRDefault="00B46DB0" w:rsidP="00AD4B58">
      <w:pPr>
        <w:rPr>
          <w:noProof/>
          <w:szCs w:val="24"/>
        </w:rPr>
      </w:pPr>
      <w:r w:rsidRPr="00804996">
        <w:rPr>
          <w:noProof/>
          <w:szCs w:val="24"/>
        </w:rPr>
        <w:t>Data della prima</w:t>
      </w:r>
      <w:r w:rsidR="003D7ED2">
        <w:rPr>
          <w:noProof/>
          <w:szCs w:val="24"/>
        </w:rPr>
        <w:t xml:space="preserve"> autorizzazione: </w:t>
      </w:r>
      <w:r w:rsidR="002B70E2">
        <w:rPr>
          <w:noProof/>
          <w:szCs w:val="24"/>
        </w:rPr>
        <w:t>20 Gennaio 2022</w:t>
      </w:r>
    </w:p>
    <w:p w14:paraId="770B7A8B" w14:textId="77777777" w:rsidR="00C75B69" w:rsidRPr="00804996" w:rsidRDefault="00C75B69" w:rsidP="00AD4B58">
      <w:pPr>
        <w:suppressAutoHyphens/>
      </w:pPr>
    </w:p>
    <w:p w14:paraId="0E692B59" w14:textId="77777777" w:rsidR="00C75B69" w:rsidRPr="00804996" w:rsidRDefault="00C75B69" w:rsidP="00AD4B58">
      <w:pPr>
        <w:suppressAutoHyphens/>
      </w:pPr>
    </w:p>
    <w:p w14:paraId="73B0AAC1" w14:textId="77777777" w:rsidR="00C75B69" w:rsidRPr="00804996" w:rsidRDefault="00B46DB0" w:rsidP="00AD4B58">
      <w:pPr>
        <w:suppressAutoHyphens/>
      </w:pPr>
      <w:r w:rsidRPr="00804996">
        <w:rPr>
          <w:b/>
        </w:rPr>
        <w:t>10.</w:t>
      </w:r>
      <w:r w:rsidRPr="00804996">
        <w:rPr>
          <w:b/>
        </w:rPr>
        <w:tab/>
        <w:t>DATA DI REVISIONE DEL TESTO</w:t>
      </w:r>
    </w:p>
    <w:p w14:paraId="5B939B82" w14:textId="77777777" w:rsidR="00C75B69" w:rsidRPr="00804996" w:rsidRDefault="00C75B69" w:rsidP="00AD4B58">
      <w:pPr>
        <w:suppressAutoHyphens/>
      </w:pPr>
    </w:p>
    <w:p w14:paraId="59F50C35" w14:textId="6774C579" w:rsidR="00C75B69" w:rsidRPr="00804996" w:rsidRDefault="002D695D" w:rsidP="001B6CEA">
      <w:pPr>
        <w:suppressAutoHyphens/>
        <w:rPr>
          <w:noProof/>
        </w:rPr>
      </w:pPr>
      <w:r>
        <w:rPr>
          <w:noProof/>
        </w:rPr>
        <w:t>05/2024</w:t>
      </w:r>
    </w:p>
    <w:p w14:paraId="28E2387A" w14:textId="77777777" w:rsidR="00C75B69" w:rsidRPr="00804996" w:rsidRDefault="00C75B69" w:rsidP="001B6CEA">
      <w:pPr>
        <w:suppressAutoHyphens/>
        <w:rPr>
          <w:noProof/>
        </w:rPr>
      </w:pPr>
    </w:p>
    <w:p w14:paraId="099D7764" w14:textId="77777777" w:rsidR="00C75B69" w:rsidRPr="00804996" w:rsidRDefault="00C75B69" w:rsidP="001B6CEA">
      <w:pPr>
        <w:suppressAutoHyphens/>
        <w:rPr>
          <w:noProof/>
        </w:rPr>
      </w:pPr>
    </w:p>
    <w:p w14:paraId="78F9ED59" w14:textId="77777777" w:rsidR="00C75B69" w:rsidRPr="00804996" w:rsidRDefault="00C75B69" w:rsidP="001B6CEA">
      <w:pPr>
        <w:suppressAutoHyphens/>
        <w:rPr>
          <w:noProof/>
        </w:rPr>
      </w:pPr>
    </w:p>
    <w:p w14:paraId="27136E1D" w14:textId="77777777" w:rsidR="00C75B69" w:rsidRPr="00804996" w:rsidRDefault="00C75B69" w:rsidP="001B6CEA">
      <w:pPr>
        <w:suppressAutoHyphens/>
        <w:rPr>
          <w:noProof/>
        </w:rPr>
      </w:pPr>
    </w:p>
    <w:p w14:paraId="2F740EE6" w14:textId="77777777" w:rsidR="00C75B69" w:rsidRPr="00804996" w:rsidRDefault="00C75B69" w:rsidP="001B6CEA">
      <w:pPr>
        <w:suppressAutoHyphens/>
        <w:rPr>
          <w:noProof/>
        </w:rPr>
      </w:pPr>
    </w:p>
    <w:sectPr w:rsidR="00C75B69" w:rsidRPr="00804996" w:rsidSect="00655B8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37" w:footer="73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E788" w14:textId="77777777" w:rsidR="00B74B22" w:rsidRDefault="00B74B22">
      <w:r>
        <w:separator/>
      </w:r>
    </w:p>
  </w:endnote>
  <w:endnote w:type="continuationSeparator" w:id="0">
    <w:p w14:paraId="77F7E4E0" w14:textId="77777777" w:rsidR="00B74B22" w:rsidRDefault="00B7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4E4C" w14:textId="77777777" w:rsidR="002860F8" w:rsidRDefault="002860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61B7" w14:textId="77777777" w:rsidR="002860F8" w:rsidRPr="00804996" w:rsidRDefault="002860F8">
    <w:pPr>
      <w:pStyle w:val="Pidipagina"/>
      <w:jc w:val="center"/>
      <w:rPr>
        <w:lang w:val="fr-FR"/>
      </w:rPr>
    </w:pPr>
    <w:r w:rsidRPr="00804996">
      <w:fldChar w:fldCharType="begin"/>
    </w:r>
    <w:r w:rsidRPr="00804996">
      <w:instrText xml:space="preserve"> EQ </w:instrText>
    </w:r>
    <w:r w:rsidRPr="00804996">
      <w:fldChar w:fldCharType="end"/>
    </w:r>
    <w:r w:rsidRPr="00804996">
      <w:rPr>
        <w:rFonts w:ascii="Arial" w:hAnsi="Arial" w:cs="Arial"/>
        <w:lang w:val="fr-FR"/>
      </w:rPr>
      <w:fldChar w:fldCharType="begin"/>
    </w:r>
    <w:r w:rsidRPr="00804996">
      <w:rPr>
        <w:rFonts w:ascii="Arial" w:hAnsi="Arial" w:cs="Arial"/>
        <w:lang w:val="fr-FR"/>
      </w:rPr>
      <w:instrText xml:space="preserve">PAGE  </w:instrText>
    </w:r>
    <w:r w:rsidRPr="00804996">
      <w:rPr>
        <w:rFonts w:ascii="Arial" w:hAnsi="Arial" w:cs="Arial"/>
        <w:lang w:val="fr-FR"/>
      </w:rPr>
      <w:fldChar w:fldCharType="separate"/>
    </w:r>
    <w:r w:rsidR="00EC5F6D">
      <w:rPr>
        <w:rFonts w:ascii="Arial" w:hAnsi="Arial" w:cs="Arial"/>
        <w:noProof/>
        <w:lang w:val="fr-FR"/>
      </w:rPr>
      <w:t>14</w:t>
    </w:r>
    <w:r w:rsidRPr="00804996">
      <w:rPr>
        <w:rFonts w:ascii="Arial" w:hAnsi="Arial" w:cs="Arial"/>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9F77" w14:textId="77777777" w:rsidR="002860F8" w:rsidRPr="00804996" w:rsidRDefault="002860F8">
    <w:pPr>
      <w:pStyle w:val="Pidipagina"/>
      <w:jc w:val="center"/>
      <w:rPr>
        <w:lang w:val="fr-FR"/>
      </w:rPr>
    </w:pPr>
    <w:r w:rsidRPr="00804996">
      <w:fldChar w:fldCharType="begin"/>
    </w:r>
    <w:r w:rsidRPr="00804996">
      <w:instrText xml:space="preserve"> EQ </w:instrText>
    </w:r>
    <w:r w:rsidRPr="00804996">
      <w:fldChar w:fldCharType="end"/>
    </w:r>
    <w:r w:rsidRPr="00804996">
      <w:rPr>
        <w:rFonts w:ascii="Arial" w:hAnsi="Arial" w:cs="Arial"/>
        <w:lang w:val="fr-FR"/>
      </w:rPr>
      <w:fldChar w:fldCharType="begin"/>
    </w:r>
    <w:r w:rsidRPr="00804996">
      <w:rPr>
        <w:rFonts w:ascii="Arial" w:hAnsi="Arial" w:cs="Arial"/>
        <w:lang w:val="fr-FR"/>
      </w:rPr>
      <w:instrText xml:space="preserve">PAGE  </w:instrText>
    </w:r>
    <w:r w:rsidRPr="00804996">
      <w:rPr>
        <w:rFonts w:ascii="Arial" w:hAnsi="Arial" w:cs="Arial"/>
        <w:lang w:val="fr-FR"/>
      </w:rPr>
      <w:fldChar w:fldCharType="separate"/>
    </w:r>
    <w:r w:rsidR="00EC5F6D">
      <w:rPr>
        <w:rFonts w:ascii="Arial" w:hAnsi="Arial" w:cs="Arial"/>
        <w:noProof/>
        <w:lang w:val="fr-FR"/>
      </w:rPr>
      <w:t>1</w:t>
    </w:r>
    <w:r w:rsidRPr="00804996">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1F37" w14:textId="77777777" w:rsidR="00B74B22" w:rsidRDefault="00B74B22">
      <w:r>
        <w:separator/>
      </w:r>
    </w:p>
  </w:footnote>
  <w:footnote w:type="continuationSeparator" w:id="0">
    <w:p w14:paraId="514316DC" w14:textId="77777777" w:rsidR="00B74B22" w:rsidRDefault="00B7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466F" w14:textId="77777777" w:rsidR="002860F8" w:rsidRDefault="002860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9632" w14:textId="77777777" w:rsidR="002860F8" w:rsidRPr="00804996" w:rsidRDefault="002860F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62C" w14:textId="77777777" w:rsidR="002860F8" w:rsidRPr="00804996" w:rsidRDefault="002860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9B95796"/>
    <w:multiLevelType w:val="singleLevel"/>
    <w:tmpl w:val="FFFFFFFF"/>
    <w:lvl w:ilvl="0">
      <w:numFmt w:val="decimal"/>
      <w:pStyle w:val="Titolo8"/>
      <w:lvlText w:val="%1"/>
      <w:legacy w:legacy="1" w:legacySpace="0" w:legacyIndent="0"/>
      <w:lvlJc w:val="left"/>
    </w:lvl>
  </w:abstractNum>
  <w:abstractNum w:abstractNumId="2" w15:restartNumberingAfterBreak="0">
    <w:nsid w:val="4BE67356"/>
    <w:multiLevelType w:val="singleLevel"/>
    <w:tmpl w:val="E6A4C6B6"/>
    <w:lvl w:ilvl="0">
      <w:start w:val="1"/>
      <w:numFmt w:val="decimal"/>
      <w:lvlText w:val="%1."/>
      <w:legacy w:legacy="1" w:legacySpace="0" w:legacyIndent="567"/>
      <w:lvlJc w:val="left"/>
      <w:pPr>
        <w:ind w:left="567" w:hanging="567"/>
      </w:pPr>
    </w:lvl>
  </w:abstractNum>
  <w:abstractNum w:abstractNumId="3" w15:restartNumberingAfterBreak="0">
    <w:nsid w:val="7A100D28"/>
    <w:multiLevelType w:val="hybridMultilevel"/>
    <w:tmpl w:val="2F94C0BA"/>
    <w:lvl w:ilvl="0" w:tplc="1EA4E404">
      <w:start w:val="1"/>
      <w:numFmt w:val="upperLetter"/>
      <w:lvlText w:val="%1."/>
      <w:lvlJc w:val="left"/>
      <w:pPr>
        <w:ind w:left="5670" w:hanging="5670"/>
      </w:pPr>
      <w:rPr>
        <w:b/>
      </w:rPr>
    </w:lvl>
    <w:lvl w:ilvl="1" w:tplc="F01A944A">
      <w:start w:val="1"/>
      <w:numFmt w:val="decimal"/>
      <w:lvlText w:val="%2."/>
      <w:lvlJc w:val="left"/>
      <w:pPr>
        <w:ind w:left="1650" w:hanging="570"/>
      </w:pPr>
      <w:rPr>
        <w:b/>
        <w:i w:val="0"/>
      </w:rPr>
    </w:lvl>
    <w:lvl w:ilvl="2" w:tplc="4E5A2E68">
      <w:start w:val="1"/>
      <w:numFmt w:val="lowerRoman"/>
      <w:lvlText w:val="%3."/>
      <w:lvlJc w:val="right"/>
      <w:pPr>
        <w:ind w:left="2160" w:hanging="180"/>
      </w:pPr>
    </w:lvl>
    <w:lvl w:ilvl="3" w:tplc="ADE22B14">
      <w:start w:val="1"/>
      <w:numFmt w:val="decimal"/>
      <w:lvlText w:val="%4."/>
      <w:lvlJc w:val="left"/>
      <w:pPr>
        <w:ind w:left="2880" w:hanging="360"/>
      </w:pPr>
    </w:lvl>
    <w:lvl w:ilvl="4" w:tplc="076879EC">
      <w:start w:val="1"/>
      <w:numFmt w:val="lowerLetter"/>
      <w:lvlText w:val="%5."/>
      <w:lvlJc w:val="left"/>
      <w:pPr>
        <w:ind w:left="3600" w:hanging="360"/>
      </w:pPr>
    </w:lvl>
    <w:lvl w:ilvl="5" w:tplc="CDA856EC">
      <w:start w:val="1"/>
      <w:numFmt w:val="lowerRoman"/>
      <w:lvlText w:val="%6."/>
      <w:lvlJc w:val="right"/>
      <w:pPr>
        <w:ind w:left="4320" w:hanging="180"/>
      </w:pPr>
    </w:lvl>
    <w:lvl w:ilvl="6" w:tplc="362C8036">
      <w:start w:val="1"/>
      <w:numFmt w:val="decimal"/>
      <w:lvlText w:val="%7."/>
      <w:lvlJc w:val="left"/>
      <w:pPr>
        <w:ind w:left="5040" w:hanging="360"/>
      </w:pPr>
    </w:lvl>
    <w:lvl w:ilvl="7" w:tplc="03983016">
      <w:start w:val="1"/>
      <w:numFmt w:val="lowerLetter"/>
      <w:lvlText w:val="%8."/>
      <w:lvlJc w:val="left"/>
      <w:pPr>
        <w:ind w:left="5760" w:hanging="360"/>
      </w:pPr>
    </w:lvl>
    <w:lvl w:ilvl="8" w:tplc="2D825446">
      <w:start w:val="1"/>
      <w:numFmt w:val="lowerRoman"/>
      <w:lvlText w:val="%9."/>
      <w:lvlJc w:val="right"/>
      <w:pPr>
        <w:ind w:left="6480" w:hanging="180"/>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vlJc w:val="left"/>
        <w:pPr>
          <w:ind w:left="360" w:hanging="360"/>
        </w:pPr>
      </w:lvl>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e-DE" w:vendorID="64" w:dllVersion="6" w:nlCheck="1" w:checkStyle="1"/>
  <w:activeWritingStyle w:appName="MSWord" w:lang="fr-FR" w:vendorID="64" w:dllVersion="6" w:nlCheck="1" w:checkStyle="1"/>
  <w:activeWritingStyle w:appName="MSWord" w:lang="it-IT" w:vendorID="64" w:dllVersion="4096" w:nlCheck="1" w:checkStyle="0"/>
  <w:activeWritingStyle w:appName="MSWord" w:lang="de-DE"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97B4C"/>
    <w:rsid w:val="000032B0"/>
    <w:rsid w:val="0000650F"/>
    <w:rsid w:val="00010EA5"/>
    <w:rsid w:val="00014F04"/>
    <w:rsid w:val="00020D95"/>
    <w:rsid w:val="00021AFE"/>
    <w:rsid w:val="00033D30"/>
    <w:rsid w:val="00035B07"/>
    <w:rsid w:val="00045236"/>
    <w:rsid w:val="000500FC"/>
    <w:rsid w:val="000538BB"/>
    <w:rsid w:val="000569E5"/>
    <w:rsid w:val="00063446"/>
    <w:rsid w:val="00070BAA"/>
    <w:rsid w:val="000908E9"/>
    <w:rsid w:val="0009262B"/>
    <w:rsid w:val="0009576A"/>
    <w:rsid w:val="00096E6B"/>
    <w:rsid w:val="00097890"/>
    <w:rsid w:val="000A750A"/>
    <w:rsid w:val="000B17B7"/>
    <w:rsid w:val="000C2485"/>
    <w:rsid w:val="000D214C"/>
    <w:rsid w:val="000D422F"/>
    <w:rsid w:val="000D427A"/>
    <w:rsid w:val="000D5E10"/>
    <w:rsid w:val="001059E1"/>
    <w:rsid w:val="001504D4"/>
    <w:rsid w:val="00157526"/>
    <w:rsid w:val="00160C1A"/>
    <w:rsid w:val="00161362"/>
    <w:rsid w:val="0016136E"/>
    <w:rsid w:val="00161AAF"/>
    <w:rsid w:val="00163F17"/>
    <w:rsid w:val="00164058"/>
    <w:rsid w:val="00164181"/>
    <w:rsid w:val="00182311"/>
    <w:rsid w:val="00190306"/>
    <w:rsid w:val="0019565E"/>
    <w:rsid w:val="001A7449"/>
    <w:rsid w:val="001B52EB"/>
    <w:rsid w:val="001B6CEA"/>
    <w:rsid w:val="001C17EF"/>
    <w:rsid w:val="001C44C1"/>
    <w:rsid w:val="001C56E0"/>
    <w:rsid w:val="001D6F5F"/>
    <w:rsid w:val="001D763E"/>
    <w:rsid w:val="001E227F"/>
    <w:rsid w:val="001F0D0E"/>
    <w:rsid w:val="001F4431"/>
    <w:rsid w:val="001F47D5"/>
    <w:rsid w:val="001F6D2B"/>
    <w:rsid w:val="00207777"/>
    <w:rsid w:val="0022247A"/>
    <w:rsid w:val="00231423"/>
    <w:rsid w:val="00234DC6"/>
    <w:rsid w:val="00242B40"/>
    <w:rsid w:val="00242C40"/>
    <w:rsid w:val="002475E4"/>
    <w:rsid w:val="0025124C"/>
    <w:rsid w:val="0025510F"/>
    <w:rsid w:val="002603B0"/>
    <w:rsid w:val="002666E9"/>
    <w:rsid w:val="00266D4B"/>
    <w:rsid w:val="00275A2E"/>
    <w:rsid w:val="00275DC7"/>
    <w:rsid w:val="00285AFD"/>
    <w:rsid w:val="002860F8"/>
    <w:rsid w:val="0029062A"/>
    <w:rsid w:val="002A086E"/>
    <w:rsid w:val="002A0977"/>
    <w:rsid w:val="002B12C2"/>
    <w:rsid w:val="002B70E2"/>
    <w:rsid w:val="002C0935"/>
    <w:rsid w:val="002C1FFD"/>
    <w:rsid w:val="002D232D"/>
    <w:rsid w:val="002D2FE7"/>
    <w:rsid w:val="002D695D"/>
    <w:rsid w:val="002E28BF"/>
    <w:rsid w:val="002F0418"/>
    <w:rsid w:val="002F0DBB"/>
    <w:rsid w:val="002F2E36"/>
    <w:rsid w:val="002F396B"/>
    <w:rsid w:val="002F3A43"/>
    <w:rsid w:val="002F4C9D"/>
    <w:rsid w:val="0030256E"/>
    <w:rsid w:val="00305F43"/>
    <w:rsid w:val="00311D5B"/>
    <w:rsid w:val="00311EFE"/>
    <w:rsid w:val="003134F3"/>
    <w:rsid w:val="003159C1"/>
    <w:rsid w:val="003365EB"/>
    <w:rsid w:val="0034182C"/>
    <w:rsid w:val="00353278"/>
    <w:rsid w:val="003625EC"/>
    <w:rsid w:val="003802DB"/>
    <w:rsid w:val="00380373"/>
    <w:rsid w:val="00380B40"/>
    <w:rsid w:val="0038596A"/>
    <w:rsid w:val="0038628D"/>
    <w:rsid w:val="003908D9"/>
    <w:rsid w:val="00393B71"/>
    <w:rsid w:val="003A0E60"/>
    <w:rsid w:val="003A2359"/>
    <w:rsid w:val="003B24CB"/>
    <w:rsid w:val="003B2E9D"/>
    <w:rsid w:val="003C1165"/>
    <w:rsid w:val="003D7689"/>
    <w:rsid w:val="003D7ED2"/>
    <w:rsid w:val="003E2F61"/>
    <w:rsid w:val="003E62D8"/>
    <w:rsid w:val="003E710B"/>
    <w:rsid w:val="003E79A9"/>
    <w:rsid w:val="003F2DF7"/>
    <w:rsid w:val="003F3E0C"/>
    <w:rsid w:val="00400A6B"/>
    <w:rsid w:val="0042199F"/>
    <w:rsid w:val="004244A5"/>
    <w:rsid w:val="00425228"/>
    <w:rsid w:val="00430983"/>
    <w:rsid w:val="0044501C"/>
    <w:rsid w:val="004513F2"/>
    <w:rsid w:val="0045324C"/>
    <w:rsid w:val="004553A3"/>
    <w:rsid w:val="004662D8"/>
    <w:rsid w:val="0046759B"/>
    <w:rsid w:val="004778EC"/>
    <w:rsid w:val="0048293F"/>
    <w:rsid w:val="00486964"/>
    <w:rsid w:val="0049158A"/>
    <w:rsid w:val="00492545"/>
    <w:rsid w:val="00492918"/>
    <w:rsid w:val="004930AE"/>
    <w:rsid w:val="00493A7D"/>
    <w:rsid w:val="004950E8"/>
    <w:rsid w:val="00495D80"/>
    <w:rsid w:val="004A75F8"/>
    <w:rsid w:val="004A7FFD"/>
    <w:rsid w:val="004B48DF"/>
    <w:rsid w:val="004B6942"/>
    <w:rsid w:val="004B6B41"/>
    <w:rsid w:val="004C2E10"/>
    <w:rsid w:val="004C749A"/>
    <w:rsid w:val="004D306E"/>
    <w:rsid w:val="004E16EF"/>
    <w:rsid w:val="004E7F38"/>
    <w:rsid w:val="004F09F3"/>
    <w:rsid w:val="004F0AFE"/>
    <w:rsid w:val="004F0E39"/>
    <w:rsid w:val="00500CEA"/>
    <w:rsid w:val="005016FC"/>
    <w:rsid w:val="00503407"/>
    <w:rsid w:val="00507E3D"/>
    <w:rsid w:val="00512F56"/>
    <w:rsid w:val="00532522"/>
    <w:rsid w:val="00534783"/>
    <w:rsid w:val="0054079F"/>
    <w:rsid w:val="005441AB"/>
    <w:rsid w:val="005510A8"/>
    <w:rsid w:val="00552ACE"/>
    <w:rsid w:val="00553C5B"/>
    <w:rsid w:val="005613B7"/>
    <w:rsid w:val="0056170E"/>
    <w:rsid w:val="00587C43"/>
    <w:rsid w:val="00591C06"/>
    <w:rsid w:val="005971B0"/>
    <w:rsid w:val="005A0AF0"/>
    <w:rsid w:val="005A4696"/>
    <w:rsid w:val="005B4CBF"/>
    <w:rsid w:val="005B4DB8"/>
    <w:rsid w:val="005B52C6"/>
    <w:rsid w:val="005C39E4"/>
    <w:rsid w:val="005C6E31"/>
    <w:rsid w:val="005D65E0"/>
    <w:rsid w:val="005E04CC"/>
    <w:rsid w:val="005E7FAB"/>
    <w:rsid w:val="005F54E1"/>
    <w:rsid w:val="00605459"/>
    <w:rsid w:val="00612FE1"/>
    <w:rsid w:val="00616E1D"/>
    <w:rsid w:val="00624CA4"/>
    <w:rsid w:val="00626E62"/>
    <w:rsid w:val="006364B3"/>
    <w:rsid w:val="00643309"/>
    <w:rsid w:val="00645F19"/>
    <w:rsid w:val="00653095"/>
    <w:rsid w:val="00655B86"/>
    <w:rsid w:val="006562D8"/>
    <w:rsid w:val="006578A0"/>
    <w:rsid w:val="00663B83"/>
    <w:rsid w:val="006710B0"/>
    <w:rsid w:val="006803E2"/>
    <w:rsid w:val="00682E6D"/>
    <w:rsid w:val="006925A6"/>
    <w:rsid w:val="00694561"/>
    <w:rsid w:val="0069459B"/>
    <w:rsid w:val="00697675"/>
    <w:rsid w:val="006A704D"/>
    <w:rsid w:val="006B2E15"/>
    <w:rsid w:val="006B3AD9"/>
    <w:rsid w:val="006C5DB8"/>
    <w:rsid w:val="006C65AD"/>
    <w:rsid w:val="006C738B"/>
    <w:rsid w:val="006D0BA7"/>
    <w:rsid w:val="006D3DBC"/>
    <w:rsid w:val="0070141C"/>
    <w:rsid w:val="007058E5"/>
    <w:rsid w:val="0070699F"/>
    <w:rsid w:val="00720B2D"/>
    <w:rsid w:val="00723115"/>
    <w:rsid w:val="0073066D"/>
    <w:rsid w:val="00733873"/>
    <w:rsid w:val="00741786"/>
    <w:rsid w:val="007564E2"/>
    <w:rsid w:val="00764409"/>
    <w:rsid w:val="007758B9"/>
    <w:rsid w:val="0077597B"/>
    <w:rsid w:val="0078308F"/>
    <w:rsid w:val="00785383"/>
    <w:rsid w:val="007974ED"/>
    <w:rsid w:val="007A0F3B"/>
    <w:rsid w:val="007A21A2"/>
    <w:rsid w:val="007A230B"/>
    <w:rsid w:val="007B1D3A"/>
    <w:rsid w:val="007B2E2D"/>
    <w:rsid w:val="007B50DA"/>
    <w:rsid w:val="007B6943"/>
    <w:rsid w:val="007C2A1A"/>
    <w:rsid w:val="007E0C03"/>
    <w:rsid w:val="007F0735"/>
    <w:rsid w:val="00802513"/>
    <w:rsid w:val="008044E6"/>
    <w:rsid w:val="00804996"/>
    <w:rsid w:val="00816057"/>
    <w:rsid w:val="00816F39"/>
    <w:rsid w:val="0081778B"/>
    <w:rsid w:val="00821197"/>
    <w:rsid w:val="00821DEC"/>
    <w:rsid w:val="00832B6E"/>
    <w:rsid w:val="00843F80"/>
    <w:rsid w:val="008461DD"/>
    <w:rsid w:val="00847500"/>
    <w:rsid w:val="00855A06"/>
    <w:rsid w:val="0086485E"/>
    <w:rsid w:val="00864EA2"/>
    <w:rsid w:val="008671CD"/>
    <w:rsid w:val="00877F3E"/>
    <w:rsid w:val="00884373"/>
    <w:rsid w:val="0089019A"/>
    <w:rsid w:val="00893C71"/>
    <w:rsid w:val="0089503B"/>
    <w:rsid w:val="00897285"/>
    <w:rsid w:val="008A658A"/>
    <w:rsid w:val="008B0270"/>
    <w:rsid w:val="008B0921"/>
    <w:rsid w:val="008B50A5"/>
    <w:rsid w:val="008C1B16"/>
    <w:rsid w:val="008C60E2"/>
    <w:rsid w:val="008D630E"/>
    <w:rsid w:val="008E7AC7"/>
    <w:rsid w:val="008E7FC8"/>
    <w:rsid w:val="008F7158"/>
    <w:rsid w:val="00900A5A"/>
    <w:rsid w:val="00902190"/>
    <w:rsid w:val="0091660E"/>
    <w:rsid w:val="00920C16"/>
    <w:rsid w:val="00932C11"/>
    <w:rsid w:val="009349C5"/>
    <w:rsid w:val="00934B13"/>
    <w:rsid w:val="00943284"/>
    <w:rsid w:val="00947F97"/>
    <w:rsid w:val="009514F3"/>
    <w:rsid w:val="009559BE"/>
    <w:rsid w:val="00955A80"/>
    <w:rsid w:val="00962A0E"/>
    <w:rsid w:val="0096621A"/>
    <w:rsid w:val="00973BD5"/>
    <w:rsid w:val="00974EF3"/>
    <w:rsid w:val="00981C97"/>
    <w:rsid w:val="00983AE4"/>
    <w:rsid w:val="009845A4"/>
    <w:rsid w:val="009974A5"/>
    <w:rsid w:val="00997B4C"/>
    <w:rsid w:val="009A4BCD"/>
    <w:rsid w:val="009A5A53"/>
    <w:rsid w:val="009A79CA"/>
    <w:rsid w:val="009B56B6"/>
    <w:rsid w:val="009B6165"/>
    <w:rsid w:val="009B7B2B"/>
    <w:rsid w:val="009C6CE3"/>
    <w:rsid w:val="009D4346"/>
    <w:rsid w:val="009E3CE1"/>
    <w:rsid w:val="009E4BA4"/>
    <w:rsid w:val="009E66D2"/>
    <w:rsid w:val="009F1EB4"/>
    <w:rsid w:val="009F2C3C"/>
    <w:rsid w:val="00A00220"/>
    <w:rsid w:val="00A053CD"/>
    <w:rsid w:val="00A121D4"/>
    <w:rsid w:val="00A16456"/>
    <w:rsid w:val="00A16C2A"/>
    <w:rsid w:val="00A211E7"/>
    <w:rsid w:val="00A22C03"/>
    <w:rsid w:val="00A25660"/>
    <w:rsid w:val="00A3136F"/>
    <w:rsid w:val="00A3368A"/>
    <w:rsid w:val="00A34FDC"/>
    <w:rsid w:val="00A50720"/>
    <w:rsid w:val="00A56703"/>
    <w:rsid w:val="00A67F12"/>
    <w:rsid w:val="00A71639"/>
    <w:rsid w:val="00A80CA5"/>
    <w:rsid w:val="00A83BCC"/>
    <w:rsid w:val="00A9031A"/>
    <w:rsid w:val="00A923BF"/>
    <w:rsid w:val="00AA0EA9"/>
    <w:rsid w:val="00AA28C5"/>
    <w:rsid w:val="00AA3991"/>
    <w:rsid w:val="00AA7956"/>
    <w:rsid w:val="00AB28C0"/>
    <w:rsid w:val="00AB4B08"/>
    <w:rsid w:val="00AC31CD"/>
    <w:rsid w:val="00AD0099"/>
    <w:rsid w:val="00AD3CE9"/>
    <w:rsid w:val="00AD4B58"/>
    <w:rsid w:val="00AD6291"/>
    <w:rsid w:val="00AE413C"/>
    <w:rsid w:val="00AF4ACD"/>
    <w:rsid w:val="00AF5142"/>
    <w:rsid w:val="00B0010A"/>
    <w:rsid w:val="00B10013"/>
    <w:rsid w:val="00B21DD5"/>
    <w:rsid w:val="00B22079"/>
    <w:rsid w:val="00B322AD"/>
    <w:rsid w:val="00B3763F"/>
    <w:rsid w:val="00B40F33"/>
    <w:rsid w:val="00B437A3"/>
    <w:rsid w:val="00B4447D"/>
    <w:rsid w:val="00B46DB0"/>
    <w:rsid w:val="00B55417"/>
    <w:rsid w:val="00B56095"/>
    <w:rsid w:val="00B74B22"/>
    <w:rsid w:val="00B76DFB"/>
    <w:rsid w:val="00B77D49"/>
    <w:rsid w:val="00B81AEB"/>
    <w:rsid w:val="00B86945"/>
    <w:rsid w:val="00B929D7"/>
    <w:rsid w:val="00BA0246"/>
    <w:rsid w:val="00BA34D5"/>
    <w:rsid w:val="00BA49EF"/>
    <w:rsid w:val="00BB09A8"/>
    <w:rsid w:val="00BB265C"/>
    <w:rsid w:val="00BB44D8"/>
    <w:rsid w:val="00BB6BF2"/>
    <w:rsid w:val="00BC40BA"/>
    <w:rsid w:val="00BC5BC5"/>
    <w:rsid w:val="00BC727F"/>
    <w:rsid w:val="00BD0FAC"/>
    <w:rsid w:val="00BD5166"/>
    <w:rsid w:val="00BE10F4"/>
    <w:rsid w:val="00BE7B6F"/>
    <w:rsid w:val="00BE7CF3"/>
    <w:rsid w:val="00BF201A"/>
    <w:rsid w:val="00BF2AF4"/>
    <w:rsid w:val="00BF4D36"/>
    <w:rsid w:val="00BF5F5C"/>
    <w:rsid w:val="00C10E69"/>
    <w:rsid w:val="00C13983"/>
    <w:rsid w:val="00C23A61"/>
    <w:rsid w:val="00C36217"/>
    <w:rsid w:val="00C379E5"/>
    <w:rsid w:val="00C42D12"/>
    <w:rsid w:val="00C61912"/>
    <w:rsid w:val="00C67C3A"/>
    <w:rsid w:val="00C7147B"/>
    <w:rsid w:val="00C72F69"/>
    <w:rsid w:val="00C75B69"/>
    <w:rsid w:val="00C8150D"/>
    <w:rsid w:val="00C82B36"/>
    <w:rsid w:val="00C91637"/>
    <w:rsid w:val="00C95DA7"/>
    <w:rsid w:val="00C968F8"/>
    <w:rsid w:val="00C976C5"/>
    <w:rsid w:val="00CA38B4"/>
    <w:rsid w:val="00CA53C2"/>
    <w:rsid w:val="00CB16E4"/>
    <w:rsid w:val="00CC0B7F"/>
    <w:rsid w:val="00CD30CC"/>
    <w:rsid w:val="00CF7FF4"/>
    <w:rsid w:val="00D0367B"/>
    <w:rsid w:val="00D07A6F"/>
    <w:rsid w:val="00D10591"/>
    <w:rsid w:val="00D10BA1"/>
    <w:rsid w:val="00D14C97"/>
    <w:rsid w:val="00D15806"/>
    <w:rsid w:val="00D2153C"/>
    <w:rsid w:val="00D21713"/>
    <w:rsid w:val="00D2288D"/>
    <w:rsid w:val="00D31B4C"/>
    <w:rsid w:val="00D3279C"/>
    <w:rsid w:val="00D44402"/>
    <w:rsid w:val="00D56663"/>
    <w:rsid w:val="00D63FE0"/>
    <w:rsid w:val="00D7682E"/>
    <w:rsid w:val="00D819D4"/>
    <w:rsid w:val="00D85967"/>
    <w:rsid w:val="00D866BB"/>
    <w:rsid w:val="00D97C30"/>
    <w:rsid w:val="00DB034A"/>
    <w:rsid w:val="00DB3427"/>
    <w:rsid w:val="00DB520F"/>
    <w:rsid w:val="00DC5D40"/>
    <w:rsid w:val="00DC663B"/>
    <w:rsid w:val="00DC68A6"/>
    <w:rsid w:val="00DD5DEC"/>
    <w:rsid w:val="00DE0D72"/>
    <w:rsid w:val="00DF1C61"/>
    <w:rsid w:val="00DF492A"/>
    <w:rsid w:val="00DF547E"/>
    <w:rsid w:val="00E03A5F"/>
    <w:rsid w:val="00E06F6B"/>
    <w:rsid w:val="00E30A31"/>
    <w:rsid w:val="00E32737"/>
    <w:rsid w:val="00E33E5A"/>
    <w:rsid w:val="00E356BC"/>
    <w:rsid w:val="00E40EB2"/>
    <w:rsid w:val="00E5182A"/>
    <w:rsid w:val="00E71327"/>
    <w:rsid w:val="00E7795F"/>
    <w:rsid w:val="00E870CB"/>
    <w:rsid w:val="00E87D16"/>
    <w:rsid w:val="00EA2C66"/>
    <w:rsid w:val="00EB154B"/>
    <w:rsid w:val="00EB336B"/>
    <w:rsid w:val="00EB6EF3"/>
    <w:rsid w:val="00EC4397"/>
    <w:rsid w:val="00EC4D77"/>
    <w:rsid w:val="00EC5F6D"/>
    <w:rsid w:val="00ED428D"/>
    <w:rsid w:val="00ED448C"/>
    <w:rsid w:val="00EE23DD"/>
    <w:rsid w:val="00EE3D92"/>
    <w:rsid w:val="00EE4E1C"/>
    <w:rsid w:val="00EE56B9"/>
    <w:rsid w:val="00EF0F47"/>
    <w:rsid w:val="00EF5D9E"/>
    <w:rsid w:val="00F00F4D"/>
    <w:rsid w:val="00F028CE"/>
    <w:rsid w:val="00F11478"/>
    <w:rsid w:val="00F12603"/>
    <w:rsid w:val="00F13584"/>
    <w:rsid w:val="00F146E5"/>
    <w:rsid w:val="00F1585A"/>
    <w:rsid w:val="00F23077"/>
    <w:rsid w:val="00F27146"/>
    <w:rsid w:val="00F3009B"/>
    <w:rsid w:val="00F302B4"/>
    <w:rsid w:val="00F30530"/>
    <w:rsid w:val="00F31615"/>
    <w:rsid w:val="00F342A3"/>
    <w:rsid w:val="00F36065"/>
    <w:rsid w:val="00F51642"/>
    <w:rsid w:val="00F53474"/>
    <w:rsid w:val="00F53847"/>
    <w:rsid w:val="00F54D22"/>
    <w:rsid w:val="00F643CB"/>
    <w:rsid w:val="00F675FF"/>
    <w:rsid w:val="00F7234A"/>
    <w:rsid w:val="00F736FC"/>
    <w:rsid w:val="00F75153"/>
    <w:rsid w:val="00F818EB"/>
    <w:rsid w:val="00F827C9"/>
    <w:rsid w:val="00F83D6E"/>
    <w:rsid w:val="00F83DA3"/>
    <w:rsid w:val="00F856A2"/>
    <w:rsid w:val="00F86A3F"/>
    <w:rsid w:val="00F92D32"/>
    <w:rsid w:val="00F958DD"/>
    <w:rsid w:val="00F964F3"/>
    <w:rsid w:val="00FA0463"/>
    <w:rsid w:val="00FB0417"/>
    <w:rsid w:val="00FB4898"/>
    <w:rsid w:val="00FB785E"/>
    <w:rsid w:val="00FC70E0"/>
    <w:rsid w:val="00FD056F"/>
    <w:rsid w:val="00FE3716"/>
    <w:rsid w:val="00FF1BE3"/>
    <w:rsid w:val="00FF2793"/>
    <w:rsid w:val="00FF3261"/>
  </w:rsids>
  <m:mathPr>
    <m:mathFont m:val="Cambria Math"/>
    <m:brkBin m:val="before"/>
    <m:brkBinSub m:val="--"/>
    <m:smallFrac m:val="0"/>
    <m:dispDef/>
    <m:lMargin m:val="0"/>
    <m:rMargin m:val="0"/>
    <m:defJc m:val="centerGroup"/>
    <m:wrapRight/>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04846"/>
  <w15:docId w15:val="{EDAD576B-880F-40A6-B224-5445422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182A"/>
    <w:rPr>
      <w:sz w:val="22"/>
      <w:lang w:val="it-IT" w:eastAsia="en-US"/>
    </w:rPr>
  </w:style>
  <w:style w:type="paragraph" w:styleId="Titolo1">
    <w:name w:val="heading 1"/>
    <w:basedOn w:val="Normale"/>
    <w:next w:val="Normale"/>
    <w:qFormat/>
    <w:rsid w:val="00E5182A"/>
    <w:pPr>
      <w:keepNext/>
      <w:tabs>
        <w:tab w:val="left" w:pos="-720"/>
        <w:tab w:val="left" w:pos="0"/>
      </w:tabs>
      <w:suppressAutoHyphens/>
      <w:jc w:val="both"/>
      <w:outlineLvl w:val="0"/>
    </w:pPr>
    <w:rPr>
      <w:noProof/>
    </w:rPr>
  </w:style>
  <w:style w:type="paragraph" w:styleId="Titolo2">
    <w:name w:val="heading 2"/>
    <w:basedOn w:val="Normale"/>
    <w:next w:val="Normale"/>
    <w:qFormat/>
    <w:rsid w:val="00E5182A"/>
    <w:pPr>
      <w:keepNext/>
      <w:suppressAutoHyphens/>
      <w:jc w:val="both"/>
      <w:outlineLvl w:val="1"/>
    </w:pPr>
    <w:rPr>
      <w:noProof/>
      <w:u w:val="single"/>
    </w:rPr>
  </w:style>
  <w:style w:type="paragraph" w:styleId="Titolo3">
    <w:name w:val="heading 3"/>
    <w:basedOn w:val="Normale"/>
    <w:next w:val="Normale"/>
    <w:qFormat/>
    <w:rsid w:val="00E5182A"/>
    <w:pPr>
      <w:keepNext/>
      <w:suppressAutoHyphens/>
      <w:outlineLvl w:val="2"/>
    </w:pPr>
    <w:rPr>
      <w:noProof/>
    </w:rPr>
  </w:style>
  <w:style w:type="paragraph" w:styleId="Titolo4">
    <w:name w:val="heading 4"/>
    <w:basedOn w:val="Normale"/>
    <w:next w:val="Normale"/>
    <w:qFormat/>
    <w:rsid w:val="00E5182A"/>
    <w:pPr>
      <w:keepNext/>
      <w:tabs>
        <w:tab w:val="left" w:pos="-720"/>
      </w:tabs>
      <w:suppressAutoHyphens/>
      <w:jc w:val="center"/>
      <w:outlineLvl w:val="3"/>
    </w:pPr>
    <w:rPr>
      <w:b/>
      <w:noProof/>
    </w:rPr>
  </w:style>
  <w:style w:type="paragraph" w:styleId="Titolo5">
    <w:name w:val="heading 5"/>
    <w:basedOn w:val="Normale"/>
    <w:next w:val="Normale"/>
    <w:qFormat/>
    <w:rsid w:val="00E5182A"/>
    <w:pPr>
      <w:keepNext/>
      <w:suppressAutoHyphens/>
      <w:outlineLvl w:val="4"/>
    </w:pPr>
    <w:rPr>
      <w:b/>
    </w:rPr>
  </w:style>
  <w:style w:type="paragraph" w:styleId="Titolo6">
    <w:name w:val="heading 6"/>
    <w:basedOn w:val="Normale"/>
    <w:next w:val="Normale"/>
    <w:qFormat/>
    <w:rsid w:val="00E5182A"/>
    <w:pPr>
      <w:keepNext/>
      <w:tabs>
        <w:tab w:val="left" w:pos="-720"/>
        <w:tab w:val="left" w:pos="567"/>
        <w:tab w:val="left" w:pos="4536"/>
      </w:tabs>
      <w:suppressAutoHyphens/>
      <w:spacing w:line="260" w:lineRule="exact"/>
      <w:outlineLvl w:val="5"/>
    </w:pPr>
    <w:rPr>
      <w:i/>
      <w:lang w:val="en-GB"/>
    </w:rPr>
  </w:style>
  <w:style w:type="paragraph" w:styleId="Titolo7">
    <w:name w:val="heading 7"/>
    <w:basedOn w:val="Normale"/>
    <w:next w:val="Normale"/>
    <w:qFormat/>
    <w:rsid w:val="00E5182A"/>
    <w:pPr>
      <w:keepNext/>
      <w:tabs>
        <w:tab w:val="left" w:pos="-720"/>
        <w:tab w:val="left" w:pos="567"/>
        <w:tab w:val="left" w:pos="4536"/>
      </w:tabs>
      <w:suppressAutoHyphens/>
      <w:spacing w:line="260" w:lineRule="exact"/>
      <w:jc w:val="both"/>
      <w:outlineLvl w:val="6"/>
    </w:pPr>
    <w:rPr>
      <w:i/>
      <w:lang w:val="en-GB"/>
    </w:rPr>
  </w:style>
  <w:style w:type="paragraph" w:styleId="Titolo8">
    <w:name w:val="heading 8"/>
    <w:basedOn w:val="Normale"/>
    <w:next w:val="Normale"/>
    <w:qFormat/>
    <w:rsid w:val="00E5182A"/>
    <w:pPr>
      <w:keepNext/>
      <w:numPr>
        <w:numId w:val="1"/>
      </w:numPr>
      <w:suppressAutoHyphens/>
      <w:ind w:left="567" w:hanging="567"/>
      <w:outlineLvl w:val="7"/>
    </w:pPr>
    <w:rPr>
      <w:b/>
    </w:rPr>
  </w:style>
  <w:style w:type="paragraph" w:styleId="Titolo9">
    <w:name w:val="heading 9"/>
    <w:basedOn w:val="Normale"/>
    <w:next w:val="Normale"/>
    <w:qFormat/>
    <w:rsid w:val="00E5182A"/>
    <w:pPr>
      <w:keepNext/>
      <w:ind w:right="-2"/>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5182A"/>
    <w:pPr>
      <w:widowControl w:val="0"/>
      <w:tabs>
        <w:tab w:val="left" w:pos="567"/>
        <w:tab w:val="center" w:pos="4536"/>
        <w:tab w:val="center" w:pos="8930"/>
      </w:tabs>
    </w:pPr>
    <w:rPr>
      <w:rFonts w:ascii="Helvetica" w:hAnsi="Helvetica"/>
      <w:sz w:val="16"/>
    </w:rPr>
  </w:style>
  <w:style w:type="paragraph" w:styleId="Intestazione">
    <w:name w:val="header"/>
    <w:basedOn w:val="Normale"/>
    <w:rsid w:val="00E5182A"/>
    <w:pPr>
      <w:widowControl w:val="0"/>
      <w:tabs>
        <w:tab w:val="left" w:pos="567"/>
        <w:tab w:val="center" w:pos="4153"/>
        <w:tab w:val="right" w:pos="8306"/>
      </w:tabs>
    </w:pPr>
    <w:rPr>
      <w:rFonts w:ascii="Helvetica" w:hAnsi="Helvetica"/>
    </w:rPr>
  </w:style>
  <w:style w:type="paragraph" w:styleId="Corpotesto">
    <w:name w:val="Body Text"/>
    <w:basedOn w:val="Normale"/>
    <w:rsid w:val="00E5182A"/>
    <w:pPr>
      <w:suppressAutoHyphens/>
    </w:pPr>
    <w:rPr>
      <w:b/>
      <w:bCs/>
      <w:noProof/>
    </w:rPr>
  </w:style>
  <w:style w:type="paragraph" w:styleId="Rientrocorpodeltesto">
    <w:name w:val="Body Text Indent"/>
    <w:basedOn w:val="Normale"/>
    <w:rsid w:val="00E5182A"/>
    <w:pPr>
      <w:tabs>
        <w:tab w:val="left" w:pos="567"/>
      </w:tabs>
      <w:suppressAutoHyphens/>
      <w:ind w:left="567" w:hanging="567"/>
    </w:pPr>
  </w:style>
  <w:style w:type="character" w:styleId="Collegamentoipertestuale">
    <w:name w:val="Hyperlink"/>
    <w:rsid w:val="00E5182A"/>
    <w:rPr>
      <w:color w:val="0000FF"/>
      <w:u w:val="single"/>
    </w:rPr>
  </w:style>
  <w:style w:type="paragraph" w:styleId="Testofumetto">
    <w:name w:val="Balloon Text"/>
    <w:basedOn w:val="Normale"/>
    <w:semiHidden/>
    <w:rsid w:val="00E5182A"/>
    <w:rPr>
      <w:rFonts w:ascii="Tahoma" w:hAnsi="Tahoma" w:cs="Tahoma"/>
      <w:sz w:val="16"/>
      <w:szCs w:val="16"/>
    </w:rPr>
  </w:style>
  <w:style w:type="character" w:styleId="Collegamentovisitato">
    <w:name w:val="FollowedHyperlink"/>
    <w:rsid w:val="00E5182A"/>
    <w:rPr>
      <w:color w:val="800080"/>
      <w:u w:val="single"/>
    </w:rPr>
  </w:style>
  <w:style w:type="character" w:styleId="Rimandocommento">
    <w:name w:val="annotation reference"/>
    <w:semiHidden/>
    <w:rsid w:val="00033D30"/>
    <w:rPr>
      <w:sz w:val="16"/>
      <w:szCs w:val="16"/>
    </w:rPr>
  </w:style>
  <w:style w:type="paragraph" w:styleId="Testocommento">
    <w:name w:val="annotation text"/>
    <w:basedOn w:val="Normale"/>
    <w:link w:val="TestocommentoCarattere"/>
    <w:uiPriority w:val="99"/>
    <w:semiHidden/>
    <w:rsid w:val="00033D30"/>
    <w:rPr>
      <w:sz w:val="20"/>
    </w:rPr>
  </w:style>
  <w:style w:type="paragraph" w:styleId="Soggettocommento">
    <w:name w:val="annotation subject"/>
    <w:basedOn w:val="Testocommento"/>
    <w:next w:val="Testocommento"/>
    <w:semiHidden/>
    <w:rsid w:val="00033D30"/>
    <w:rPr>
      <w:b/>
      <w:bCs/>
    </w:rPr>
  </w:style>
  <w:style w:type="character" w:customStyle="1" w:styleId="TestocommentoCarattere">
    <w:name w:val="Testo commento Carattere"/>
    <w:basedOn w:val="Carpredefinitoparagrafo"/>
    <w:link w:val="Testocommento"/>
    <w:uiPriority w:val="99"/>
    <w:semiHidden/>
    <w:rsid w:val="00F12603"/>
    <w:rPr>
      <w:lang w:val="it-IT" w:eastAsia="en-US"/>
    </w:rPr>
  </w:style>
  <w:style w:type="table" w:styleId="Grigliatabella">
    <w:name w:val="Table Grid"/>
    <w:basedOn w:val="Tabellanormale"/>
    <w:rsid w:val="002D2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275DC7"/>
    <w:rPr>
      <w:color w:val="605E5C"/>
      <w:shd w:val="clear" w:color="auto" w:fill="E1DFDD"/>
    </w:rPr>
  </w:style>
  <w:style w:type="paragraph" w:styleId="Revisione">
    <w:name w:val="Revision"/>
    <w:hidden/>
    <w:uiPriority w:val="99"/>
    <w:semiHidden/>
    <w:rsid w:val="00D0367B"/>
    <w:rPr>
      <w:sz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04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aifa.gov.it/content/segnalazioni-reazioni-avver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13B454724EA4CADDC1556E06B2C7F" ma:contentTypeVersion="15" ma:contentTypeDescription="Create a new document." ma:contentTypeScope="" ma:versionID="b0f8a514ec10de56d9fc86fe97746b8e">
  <xsd:schema xmlns:xsd="http://www.w3.org/2001/XMLSchema" xmlns:xs="http://www.w3.org/2001/XMLSchema" xmlns:p="http://schemas.microsoft.com/office/2006/metadata/properties" xmlns:ns2="0534b72e-978d-46a8-80ce-eabd691cacc4" xmlns:ns3="24a70960-9d18-4ea6-b5e8-8a0c5918f986" targetNamespace="http://schemas.microsoft.com/office/2006/metadata/properties" ma:root="true" ma:fieldsID="e6a172d03c85057acf60f836355adabe" ns2:_="" ns3:_="">
    <xsd:import namespace="0534b72e-978d-46a8-80ce-eabd691cacc4"/>
    <xsd:import namespace="24a70960-9d18-4ea6-b5e8-8a0c5918f9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4b72e-978d-46a8-80ce-eabd691c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92ec7a-3295-4255-bcf5-bd02dae10c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70960-9d18-4ea6-b5e8-8a0c5918f9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aa00d1-3435-4ba5-8e9a-4aa870318879}" ma:internalName="TaxCatchAll" ma:showField="CatchAllData" ma:web="24a70960-9d18-4ea6-b5e8-8a0c5918f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a70960-9d18-4ea6-b5e8-8a0c5918f986" xsi:nil="true"/>
    <lcf76f155ced4ddcb4097134ff3c332f xmlns="0534b72e-978d-46a8-80ce-eabd691cac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FE26C-A7BD-4693-B0E6-1C663359C454}"/>
</file>

<file path=customXml/itemProps2.xml><?xml version="1.0" encoding="utf-8"?>
<ds:datastoreItem xmlns:ds="http://schemas.openxmlformats.org/officeDocument/2006/customXml" ds:itemID="{B5E47201-C32C-455A-BDE7-CF80A275E366}"/>
</file>

<file path=customXml/itemProps3.xml><?xml version="1.0" encoding="utf-8"?>
<ds:datastoreItem xmlns:ds="http://schemas.openxmlformats.org/officeDocument/2006/customXml" ds:itemID="{B7F2BC08-3D90-451B-B78C-C1E09AD4233D}"/>
</file>

<file path=docProps/app.xml><?xml version="1.0" encoding="utf-8"?>
<Properties xmlns="http://schemas.openxmlformats.org/officeDocument/2006/extended-properties" xmlns:vt="http://schemas.openxmlformats.org/officeDocument/2006/docPropsVTypes">
  <Template>Normal.dotm</Template>
  <TotalTime>1</TotalTime>
  <Pages>15</Pages>
  <Words>5927</Words>
  <Characters>33789</Characters>
  <Application>Microsoft Office Word</Application>
  <DocSecurity>0</DocSecurity>
  <Lines>281</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mutual-recognition-decentralised-referral-pi-template-version-42_en_CLEAN_IT</vt:lpstr>
      <vt:lpstr>Hreferralspcclean_it</vt:lpstr>
    </vt:vector>
  </TitlesOfParts>
  <Company>CDT</Company>
  <LinksUpToDate>false</LinksUpToDate>
  <CharactersWithSpaces>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mutual-recognition-decentralised-referral-pi-template-version-42_en_CLEAN_IT</dc:title>
  <dc:subject>General-EMA/53555/2010</dc:subject>
  <dc:creator>CDT</dc:creator>
  <cp:lastModifiedBy>IntexoEM</cp:lastModifiedBy>
  <cp:revision>2</cp:revision>
  <cp:lastPrinted>1998-08-12T10:13:00Z</cp:lastPrinted>
  <dcterms:created xsi:type="dcterms:W3CDTF">2024-05-28T07:32:00Z</dcterms:created>
  <dcterms:modified xsi:type="dcterms:W3CDTF">2024-05-28T07:32:00Z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10:59:30</vt:lpwstr>
  </property>
  <property fmtid="{D5CDD505-2E9C-101B-9397-08002B2CF9AE}" pid="7" name="DM_Creator_Name">
    <vt:lpwstr>Akhtar Timea</vt:lpwstr>
  </property>
  <property fmtid="{D5CDD505-2E9C-101B-9397-08002B2CF9AE}" pid="8" name="DM_DocRefId">
    <vt:lpwstr>EMA/217914/2021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53555</vt:lpwstr>
  </property>
  <property fmtid="{D5CDD505-2E9C-101B-9397-08002B2CF9AE}" pid="14" name="DM_emea_doc_ref_id">
    <vt:lpwstr>EMA/217914/2021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10:59:30</vt:lpwstr>
  </property>
  <property fmtid="{D5CDD505-2E9C-101B-9397-08002B2CF9AE}" pid="35" name="DM_Modifier_Name">
    <vt:lpwstr>Akhtar Timea</vt:lpwstr>
  </property>
  <property fmtid="{D5CDD505-2E9C-101B-9397-08002B2CF9AE}" pid="36" name="DM_Modify_Date">
    <vt:lpwstr>15/04/2021 10:59:30</vt:lpwstr>
  </property>
  <property fmtid="{D5CDD505-2E9C-101B-9397-08002B2CF9AE}" pid="37" name="DM_Name">
    <vt:lpwstr>mutual-recognition-decentralised-referral-pi-template-version-42_en_CLEAN_IT</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46df35e1-9124-43c3-be18-ad0300ec1be3</vt:lpwstr>
  </property>
  <property fmtid="{D5CDD505-2E9C-101B-9397-08002B2CF9AE}" pid="46" name="MSIP_Label_0eea11ca-d417-4147-80ed-01a58412c458_ActionId">
    <vt:lpwstr>ea2e8033-62b6-4ad8-8aa9-67166478c1a7</vt:lpwstr>
  </property>
  <property fmtid="{D5CDD505-2E9C-101B-9397-08002B2CF9AE}" pid="47" name="MSIP_Label_0eea11ca-d417-4147-80ed-01a58412c458_Application">
    <vt:lpwstr>Microsoft Azure Information Protection</vt:lpwstr>
  </property>
  <property fmtid="{D5CDD505-2E9C-101B-9397-08002B2CF9AE}" pid="48" name="MSIP_Label_0eea11ca-d417-4147-80ed-01a58412c458_Enabled">
    <vt:lpwstr>True</vt:lpwstr>
  </property>
  <property fmtid="{D5CDD505-2E9C-101B-9397-08002B2CF9AE}" pid="49" name="MSIP_Label_0eea11ca-d417-4147-80ed-01a58412c458_Extended_MSFT_Method">
    <vt:lpwstr>Automatic</vt:lpwstr>
  </property>
  <property fmtid="{D5CDD505-2E9C-101B-9397-08002B2CF9AE}" pid="50" name="MSIP_Label_0eea11ca-d417-4147-80ed-01a58412c458_Name">
    <vt:lpwstr>All EMA Staff and Contractors</vt:lpwstr>
  </property>
  <property fmtid="{D5CDD505-2E9C-101B-9397-08002B2CF9AE}" pid="51" name="MSIP_Label_0eea11ca-d417-4147-80ed-01a58412c458_Owner">
    <vt:lpwstr>Tia.Akhtar@ema.europa.eu</vt:lpwstr>
  </property>
  <property fmtid="{D5CDD505-2E9C-101B-9397-08002B2CF9AE}" pid="52" name="MSIP_Label_0eea11ca-d417-4147-80ed-01a58412c458_Parent">
    <vt:lpwstr>afe1b31d-cec0-4074-b4bd-f07689e43d84</vt:lpwstr>
  </property>
  <property fmtid="{D5CDD505-2E9C-101B-9397-08002B2CF9AE}" pid="53" name="MSIP_Label_0eea11ca-d417-4147-80ed-01a58412c458_SetDate">
    <vt:lpwstr>2020-02-03T09:18:25.6719428Z</vt:lpwstr>
  </property>
  <property fmtid="{D5CDD505-2E9C-101B-9397-08002B2CF9AE}" pid="54" name="MSIP_Label_0eea11ca-d417-4147-80ed-01a58412c458_SiteId">
    <vt:lpwstr>bc9dc15c-61bc-4f03-b60b-e5b6d8922839</vt:lpwstr>
  </property>
  <property fmtid="{D5CDD505-2E9C-101B-9397-08002B2CF9AE}" pid="55" name="MSIP_Label_afe1b31d-cec0-4074-b4bd-f07689e43d84_ActionId">
    <vt:lpwstr>ea2e8033-62b6-4ad8-8aa9-67166478c1a7</vt:lpwstr>
  </property>
  <property fmtid="{D5CDD505-2E9C-101B-9397-08002B2CF9AE}" pid="56" name="MSIP_Label_afe1b31d-cec0-4074-b4bd-f07689e43d84_Application">
    <vt:lpwstr>Microsoft Azure Information Protection</vt:lpwstr>
  </property>
  <property fmtid="{D5CDD505-2E9C-101B-9397-08002B2CF9AE}" pid="57" name="MSIP_Label_afe1b31d-cec0-4074-b4bd-f07689e43d84_Enabled">
    <vt:lpwstr>True</vt:lpwstr>
  </property>
  <property fmtid="{D5CDD505-2E9C-101B-9397-08002B2CF9AE}" pid="58" name="MSIP_Label_afe1b31d-cec0-4074-b4bd-f07689e43d84_Extended_MSFT_Method">
    <vt:lpwstr>Automatic</vt:lpwstr>
  </property>
  <property fmtid="{D5CDD505-2E9C-101B-9397-08002B2CF9AE}" pid="59" name="MSIP_Label_afe1b31d-cec0-4074-b4bd-f07689e43d84_Name">
    <vt:lpwstr>Internal</vt:lpwstr>
  </property>
  <property fmtid="{D5CDD505-2E9C-101B-9397-08002B2CF9AE}" pid="60" name="MSIP_Label_afe1b31d-cec0-4074-b4bd-f07689e43d84_Owner">
    <vt:lpwstr>Tia.Akhtar@ema.europa.eu</vt:lpwstr>
  </property>
  <property fmtid="{D5CDD505-2E9C-101B-9397-08002B2CF9AE}" pid="61" name="MSIP_Label_afe1b31d-cec0-4074-b4bd-f07689e43d84_SetDate">
    <vt:lpwstr>2020-02-03T09:18:25.6719428Z</vt:lpwstr>
  </property>
  <property fmtid="{D5CDD505-2E9C-101B-9397-08002B2CF9AE}" pid="62" name="MSIP_Label_afe1b31d-cec0-4074-b4bd-f07689e43d84_SiteId">
    <vt:lpwstr>bc9dc15c-61bc-4f03-b60b-e5b6d8922839</vt:lpwstr>
  </property>
  <property fmtid="{D5CDD505-2E9C-101B-9397-08002B2CF9AE}" pid="63" name="ContentTypeId">
    <vt:lpwstr>0x010100BD213B454724EA4CADDC1556E06B2C7F</vt:lpwstr>
  </property>
  <property fmtid="{D5CDD505-2E9C-101B-9397-08002B2CF9AE}" pid="64" name="Order">
    <vt:r8>23621600</vt:r8>
  </property>
</Properties>
</file>