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95DF8" w14:textId="1FAC1102" w:rsidR="008543EB" w:rsidRPr="00DE3746" w:rsidRDefault="00B83D60" w:rsidP="00C733B3">
      <w:pPr>
        <w:pStyle w:val="Default"/>
        <w:jc w:val="center"/>
        <w:rPr>
          <w:b/>
          <w:bCs/>
          <w:sz w:val="22"/>
          <w:szCs w:val="22"/>
        </w:rPr>
      </w:pPr>
      <w:r w:rsidRPr="00DE3746">
        <w:rPr>
          <w:b/>
          <w:sz w:val="22"/>
          <w:lang w:bidi="it-IT"/>
        </w:rPr>
        <w:t>RIASSUNTO DELLE CARATTERISTICHE DEL PRODOTTO</w:t>
      </w:r>
    </w:p>
    <w:p w14:paraId="271535F9" w14:textId="77777777" w:rsidR="00B83D60" w:rsidRDefault="00B83D60" w:rsidP="00C733B3">
      <w:pPr>
        <w:pStyle w:val="Default"/>
      </w:pPr>
    </w:p>
    <w:p w14:paraId="5E4EE3B5" w14:textId="77777777" w:rsidR="00931244" w:rsidRDefault="00931244" w:rsidP="00C733B3">
      <w:pPr>
        <w:pStyle w:val="Default"/>
      </w:pPr>
    </w:p>
    <w:p w14:paraId="16F1FCED" w14:textId="7C384386" w:rsidR="00931244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1.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="009029C6" w:rsidRPr="00B1724D">
        <w:rPr>
          <w:rFonts w:ascii="Times New Roman" w:eastAsia="Times New Roman" w:hAnsi="Times New Roman" w:cs="Times New Roman"/>
          <w:b/>
          <w:szCs w:val="20"/>
        </w:rPr>
        <w:t>DENOMINAZIONE</w:t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 DEL </w:t>
      </w:r>
      <w:r w:rsidR="00617A00" w:rsidRPr="00B1724D">
        <w:rPr>
          <w:rFonts w:ascii="Times New Roman" w:eastAsia="Times New Roman" w:hAnsi="Times New Roman" w:cs="Times New Roman"/>
          <w:b/>
          <w:szCs w:val="20"/>
        </w:rPr>
        <w:t>MEDICINALE</w:t>
      </w:r>
    </w:p>
    <w:p w14:paraId="4496C598" w14:textId="15836E48" w:rsidR="008543EB" w:rsidRPr="00B1724D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</w:p>
    <w:p w14:paraId="5EE579CC" w14:textId="711837B0" w:rsidR="00F8599A" w:rsidRPr="00931244" w:rsidRDefault="00931244" w:rsidP="00C733B3">
      <w:pPr>
        <w:pStyle w:val="Default"/>
        <w:rPr>
          <w:sz w:val="22"/>
        </w:rPr>
      </w:pPr>
      <w:bookmarkStart w:id="0" w:name="_Hlk102053650"/>
      <w:proofErr w:type="spellStart"/>
      <w:r>
        <w:rPr>
          <w:sz w:val="22"/>
          <w:lang w:bidi="it-IT"/>
        </w:rPr>
        <w:t>Tadomon</w:t>
      </w:r>
      <w:proofErr w:type="spellEnd"/>
      <w:r w:rsidR="00D27C89">
        <w:rPr>
          <w:sz w:val="22"/>
          <w:lang w:bidi="it-IT"/>
        </w:rPr>
        <w:t xml:space="preserve"> </w:t>
      </w:r>
      <w:r w:rsidR="002D2C00">
        <w:rPr>
          <w:sz w:val="22"/>
          <w:lang w:bidi="it-IT"/>
        </w:rPr>
        <w:t xml:space="preserve">25 mg compresse a rilascio prolungato </w:t>
      </w:r>
    </w:p>
    <w:p w14:paraId="6727222C" w14:textId="05B44C09" w:rsidR="008543EB" w:rsidRPr="009312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2D2C00">
        <w:rPr>
          <w:sz w:val="22"/>
          <w:lang w:bidi="it-IT"/>
        </w:rPr>
        <w:t xml:space="preserve">50 mg compresse a rilascio prolungato </w:t>
      </w:r>
    </w:p>
    <w:p w14:paraId="6356D689" w14:textId="51978376" w:rsidR="008543EB" w:rsidRPr="009312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2D2C00">
        <w:rPr>
          <w:sz w:val="22"/>
          <w:lang w:bidi="it-IT"/>
        </w:rPr>
        <w:t xml:space="preserve">100 mg compresse a rilascio prolungato </w:t>
      </w:r>
    </w:p>
    <w:p w14:paraId="15713CD5" w14:textId="2666F111" w:rsidR="008543EB" w:rsidRPr="009312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2D2C00">
        <w:rPr>
          <w:sz w:val="22"/>
          <w:lang w:bidi="it-IT"/>
        </w:rPr>
        <w:t xml:space="preserve">150 mg compresse a rilascio prolungato </w:t>
      </w:r>
    </w:p>
    <w:p w14:paraId="343782E8" w14:textId="29E96769" w:rsidR="008543EB" w:rsidRPr="009312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2D2C00">
        <w:rPr>
          <w:sz w:val="22"/>
          <w:lang w:bidi="it-IT"/>
        </w:rPr>
        <w:t xml:space="preserve">200 mg compresse a rilascio prolungato </w:t>
      </w:r>
    </w:p>
    <w:p w14:paraId="50A5DBB7" w14:textId="40AA0724" w:rsidR="008543EB" w:rsidRDefault="00931244" w:rsidP="00C733B3">
      <w:pPr>
        <w:pStyle w:val="Default"/>
        <w:rPr>
          <w:sz w:val="22"/>
          <w:lang w:bidi="it-IT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2D2C00">
        <w:rPr>
          <w:sz w:val="22"/>
          <w:lang w:bidi="it-IT"/>
        </w:rPr>
        <w:t xml:space="preserve">250 mg </w:t>
      </w:r>
      <w:r>
        <w:rPr>
          <w:sz w:val="22"/>
          <w:lang w:bidi="it-IT"/>
        </w:rPr>
        <w:t>compresse a rilascio prolungato</w:t>
      </w:r>
    </w:p>
    <w:p w14:paraId="36064713" w14:textId="77777777" w:rsidR="00931244" w:rsidRDefault="00931244" w:rsidP="00C733B3">
      <w:pPr>
        <w:pStyle w:val="Default"/>
        <w:rPr>
          <w:sz w:val="22"/>
        </w:rPr>
      </w:pPr>
    </w:p>
    <w:p w14:paraId="4D7C932E" w14:textId="77777777" w:rsidR="00931244" w:rsidRPr="00931244" w:rsidRDefault="00931244" w:rsidP="00C733B3">
      <w:pPr>
        <w:pStyle w:val="Default"/>
        <w:rPr>
          <w:sz w:val="22"/>
        </w:rPr>
      </w:pPr>
    </w:p>
    <w:bookmarkEnd w:id="0"/>
    <w:p w14:paraId="05EAE8BB" w14:textId="58B6C400" w:rsidR="008543EB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2.</w:t>
      </w:r>
      <w:r w:rsidR="00931244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COMPOSIZIONE QUALITATIVA E QUANTITATIVA </w:t>
      </w:r>
    </w:p>
    <w:p w14:paraId="1F56EC0D" w14:textId="77777777" w:rsidR="00931244" w:rsidRPr="00B1724D" w:rsidRDefault="00931244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</w:p>
    <w:p w14:paraId="30742A24" w14:textId="1193252F" w:rsidR="00F8599A" w:rsidRPr="00721B44" w:rsidRDefault="00F8599A" w:rsidP="00C733B3">
      <w:pPr>
        <w:pStyle w:val="Default"/>
        <w:rPr>
          <w:sz w:val="22"/>
        </w:rPr>
      </w:pPr>
      <w:r w:rsidRPr="00A108CD">
        <w:rPr>
          <w:sz w:val="22"/>
          <w:lang w:bidi="it-IT"/>
        </w:rPr>
        <w:t xml:space="preserve">Ogni compressa a rilascio prolungato contiene </w:t>
      </w:r>
      <w:proofErr w:type="spellStart"/>
      <w:r w:rsidRPr="00A108CD">
        <w:rPr>
          <w:sz w:val="22"/>
          <w:lang w:bidi="it-IT"/>
        </w:rPr>
        <w:t>tapentadolo</w:t>
      </w:r>
      <w:proofErr w:type="spellEnd"/>
      <w:r w:rsidRPr="00A108CD">
        <w:rPr>
          <w:sz w:val="22"/>
          <w:lang w:bidi="it-IT"/>
        </w:rPr>
        <w:t xml:space="preserve"> tartrato equivalente a 25 mg di </w:t>
      </w:r>
      <w:proofErr w:type="spellStart"/>
      <w:r w:rsidRPr="00A108CD">
        <w:rPr>
          <w:sz w:val="22"/>
          <w:lang w:bidi="it-IT"/>
        </w:rPr>
        <w:t>tapentadolo</w:t>
      </w:r>
      <w:proofErr w:type="spellEnd"/>
      <w:r w:rsidRPr="00A108CD">
        <w:rPr>
          <w:sz w:val="22"/>
          <w:lang w:bidi="it-IT"/>
        </w:rPr>
        <w:t xml:space="preserve">. </w:t>
      </w:r>
    </w:p>
    <w:p w14:paraId="73816FC1" w14:textId="550624E9" w:rsidR="00F8599A" w:rsidRPr="00721B44" w:rsidRDefault="00F8599A" w:rsidP="00C733B3">
      <w:pPr>
        <w:pStyle w:val="Default"/>
        <w:rPr>
          <w:sz w:val="22"/>
        </w:rPr>
      </w:pPr>
      <w:r w:rsidRPr="003029E9">
        <w:rPr>
          <w:sz w:val="22"/>
          <w:lang w:bidi="it-IT"/>
        </w:rPr>
        <w:t xml:space="preserve">Ogni compressa a rilascio prolungato contiene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 xml:space="preserve"> tartrato equivalente a 50 mg di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>.</w:t>
      </w:r>
    </w:p>
    <w:p w14:paraId="47A946A9" w14:textId="67C2D842" w:rsidR="00F8599A" w:rsidRPr="00721B44" w:rsidRDefault="00F8599A" w:rsidP="00C733B3">
      <w:pPr>
        <w:pStyle w:val="Default"/>
        <w:rPr>
          <w:sz w:val="22"/>
        </w:rPr>
      </w:pPr>
      <w:r w:rsidRPr="003029E9">
        <w:rPr>
          <w:sz w:val="22"/>
          <w:lang w:bidi="it-IT"/>
        </w:rPr>
        <w:t xml:space="preserve">Ogni compressa a rilascio prolungato contiene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 xml:space="preserve"> tartrato equivalente a 100 mg di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>.</w:t>
      </w:r>
    </w:p>
    <w:p w14:paraId="44088B80" w14:textId="38EF3F1C" w:rsidR="00F8599A" w:rsidRPr="00721B44" w:rsidRDefault="00F8599A" w:rsidP="00C733B3">
      <w:pPr>
        <w:pStyle w:val="Default"/>
        <w:rPr>
          <w:sz w:val="22"/>
        </w:rPr>
      </w:pPr>
      <w:r w:rsidRPr="003029E9">
        <w:rPr>
          <w:sz w:val="22"/>
          <w:lang w:bidi="it-IT"/>
        </w:rPr>
        <w:t xml:space="preserve">Ogni compressa a rilascio prolungato contiene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 xml:space="preserve"> tartrato equivalente a 150 mg di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>.</w:t>
      </w:r>
    </w:p>
    <w:p w14:paraId="16DC79A1" w14:textId="4D54D490" w:rsidR="00F8599A" w:rsidRPr="00721B44" w:rsidRDefault="00F8599A" w:rsidP="00C733B3">
      <w:pPr>
        <w:pStyle w:val="Default"/>
        <w:rPr>
          <w:sz w:val="22"/>
        </w:rPr>
      </w:pPr>
      <w:r w:rsidRPr="003029E9">
        <w:rPr>
          <w:sz w:val="22"/>
          <w:lang w:bidi="it-IT"/>
        </w:rPr>
        <w:t xml:space="preserve">Ogni compressa a rilascio prolungato contiene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 xml:space="preserve"> tartrato equivalente a 200 mg di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>.</w:t>
      </w:r>
    </w:p>
    <w:p w14:paraId="2332DDF2" w14:textId="4A6B656A" w:rsidR="00F8599A" w:rsidRPr="00721B44" w:rsidRDefault="00F8599A" w:rsidP="00C733B3">
      <w:pPr>
        <w:pStyle w:val="Default"/>
        <w:rPr>
          <w:sz w:val="22"/>
        </w:rPr>
      </w:pPr>
      <w:r w:rsidRPr="003029E9">
        <w:rPr>
          <w:sz w:val="22"/>
          <w:lang w:bidi="it-IT"/>
        </w:rPr>
        <w:t xml:space="preserve">Ogni compressa a rilascio prolungato contiene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 xml:space="preserve"> tartrato equivalente a 250 mg di </w:t>
      </w:r>
      <w:proofErr w:type="spellStart"/>
      <w:r w:rsidRPr="003029E9">
        <w:rPr>
          <w:sz w:val="22"/>
          <w:lang w:bidi="it-IT"/>
        </w:rPr>
        <w:t>tapentadolo</w:t>
      </w:r>
      <w:proofErr w:type="spellEnd"/>
      <w:r w:rsidRPr="003029E9">
        <w:rPr>
          <w:sz w:val="22"/>
          <w:lang w:bidi="it-IT"/>
        </w:rPr>
        <w:t>.</w:t>
      </w:r>
    </w:p>
    <w:p w14:paraId="3B3662AC" w14:textId="77777777" w:rsidR="00F8599A" w:rsidRPr="00721B44" w:rsidRDefault="00F8599A" w:rsidP="00C733B3">
      <w:pPr>
        <w:pStyle w:val="Default"/>
        <w:rPr>
          <w:sz w:val="22"/>
        </w:rPr>
      </w:pPr>
    </w:p>
    <w:p w14:paraId="1EBCCB17" w14:textId="768A0C6A" w:rsidR="008543EB" w:rsidRDefault="008543EB" w:rsidP="00C733B3">
      <w:pPr>
        <w:pStyle w:val="Default"/>
        <w:rPr>
          <w:sz w:val="22"/>
          <w:lang w:bidi="it-IT"/>
        </w:rPr>
      </w:pPr>
      <w:r w:rsidRPr="008543EB">
        <w:rPr>
          <w:sz w:val="22"/>
          <w:lang w:bidi="it-IT"/>
        </w:rPr>
        <w:t>Per l</w:t>
      </w:r>
      <w:r w:rsidR="00931244">
        <w:rPr>
          <w:sz w:val="22"/>
          <w:lang w:bidi="it-IT"/>
        </w:rPr>
        <w:t>’</w:t>
      </w:r>
      <w:r w:rsidRPr="008543EB">
        <w:rPr>
          <w:sz w:val="22"/>
          <w:lang w:bidi="it-IT"/>
        </w:rPr>
        <w:t xml:space="preserve">elenco completo degli eccipienti, vedere il paragrafo 6.1. </w:t>
      </w:r>
    </w:p>
    <w:p w14:paraId="5C9AED3B" w14:textId="77777777" w:rsidR="00931244" w:rsidRDefault="00931244" w:rsidP="00C733B3">
      <w:pPr>
        <w:pStyle w:val="Default"/>
        <w:rPr>
          <w:sz w:val="22"/>
          <w:lang w:bidi="it-IT"/>
        </w:rPr>
      </w:pPr>
    </w:p>
    <w:p w14:paraId="3E8BC52E" w14:textId="77777777" w:rsidR="00931244" w:rsidRPr="00721B44" w:rsidRDefault="00931244" w:rsidP="00C733B3">
      <w:pPr>
        <w:pStyle w:val="Default"/>
        <w:rPr>
          <w:sz w:val="22"/>
        </w:rPr>
      </w:pPr>
    </w:p>
    <w:p w14:paraId="4BC7F504" w14:textId="290B253C" w:rsidR="008543EB" w:rsidRPr="00B1724D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3.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FORMA FARMACEUTICA </w:t>
      </w:r>
    </w:p>
    <w:p w14:paraId="131839E6" w14:textId="77777777" w:rsidR="00931244" w:rsidRPr="00721B44" w:rsidRDefault="00931244" w:rsidP="00C733B3">
      <w:pPr>
        <w:pStyle w:val="Default"/>
        <w:rPr>
          <w:b/>
          <w:sz w:val="22"/>
        </w:rPr>
      </w:pPr>
    </w:p>
    <w:p w14:paraId="45194A3F" w14:textId="03AD358A" w:rsidR="003029E9" w:rsidRPr="00721B44" w:rsidRDefault="003029E9" w:rsidP="00C733B3">
      <w:pPr>
        <w:pStyle w:val="Header"/>
        <w:tabs>
          <w:tab w:val="clear" w:pos="4536"/>
          <w:tab w:val="clear" w:pos="9072"/>
        </w:tabs>
        <w:rPr>
          <w:rFonts w:ascii="Times New Roman" w:eastAsiaTheme="minorHAnsi" w:hAnsi="Times New Roman"/>
          <w:color w:val="000000"/>
          <w:lang w:val="it-IT"/>
        </w:rPr>
      </w:pPr>
      <w:r w:rsidRPr="005A042B">
        <w:rPr>
          <w:rFonts w:ascii="Times New Roman" w:hAnsi="Times New Roman" w:cs="Times New Roman"/>
          <w:lang w:val="it-IT" w:bidi="it-IT"/>
        </w:rPr>
        <w:t>Compressa a rilascio prolungato</w:t>
      </w:r>
      <w:r w:rsidR="00705A00">
        <w:rPr>
          <w:rFonts w:ascii="Times New Roman" w:hAnsi="Times New Roman" w:cs="Times New Roman"/>
          <w:lang w:val="it-IT" w:bidi="it-IT"/>
        </w:rPr>
        <w:t>.</w:t>
      </w:r>
    </w:p>
    <w:p w14:paraId="634D7228" w14:textId="77777777" w:rsidR="003029E9" w:rsidRPr="00721B44" w:rsidRDefault="003029E9" w:rsidP="00C733B3">
      <w:pPr>
        <w:pStyle w:val="Header"/>
        <w:tabs>
          <w:tab w:val="clear" w:pos="4536"/>
          <w:tab w:val="clear" w:pos="9072"/>
        </w:tabs>
        <w:rPr>
          <w:rFonts w:ascii="Times New Roman" w:eastAsiaTheme="minorHAnsi" w:hAnsi="Times New Roman"/>
          <w:color w:val="000000"/>
          <w:lang w:val="it-IT"/>
        </w:rPr>
      </w:pPr>
    </w:p>
    <w:p w14:paraId="481F4286" w14:textId="70C81048" w:rsidR="003029E9" w:rsidRPr="00721B44" w:rsidRDefault="003029E9" w:rsidP="00C733B3">
      <w:pPr>
        <w:pStyle w:val="Header"/>
        <w:tabs>
          <w:tab w:val="clear" w:pos="4536"/>
          <w:tab w:val="clear" w:pos="9072"/>
        </w:tabs>
        <w:rPr>
          <w:rFonts w:ascii="Times New Roman" w:eastAsiaTheme="minorHAnsi" w:hAnsi="Times New Roman"/>
          <w:color w:val="000000"/>
          <w:lang w:val="it-IT"/>
        </w:rPr>
      </w:pPr>
      <w:r w:rsidRPr="005A042B">
        <w:rPr>
          <w:rFonts w:ascii="Times New Roman" w:hAnsi="Times New Roman" w:cs="Times New Roman"/>
          <w:lang w:val="it-IT" w:bidi="it-IT"/>
        </w:rPr>
        <w:t xml:space="preserve">[25 mg]: Compressa </w:t>
      </w:r>
      <w:bookmarkStart w:id="1" w:name="_Hlk85437758"/>
      <w:r w:rsidRPr="005A042B">
        <w:rPr>
          <w:rFonts w:ascii="Times New Roman" w:hAnsi="Times New Roman" w:cs="Times New Roman"/>
          <w:lang w:val="it-IT" w:bidi="it-IT"/>
        </w:rPr>
        <w:t xml:space="preserve">a rilascio prolungato </w:t>
      </w:r>
      <w:bookmarkEnd w:id="1"/>
      <w:r w:rsidRPr="005A042B">
        <w:rPr>
          <w:rFonts w:ascii="Times New Roman" w:hAnsi="Times New Roman" w:cs="Times New Roman"/>
          <w:lang w:val="it-IT" w:bidi="it-IT"/>
        </w:rPr>
        <w:t>di colore beige chiaro, rotonda e biconvessa, con un diametro di circa 8 mm.</w:t>
      </w:r>
    </w:p>
    <w:p w14:paraId="7247F208" w14:textId="77777777" w:rsidR="003029E9" w:rsidRPr="00721B44" w:rsidRDefault="003029E9" w:rsidP="00C733B3">
      <w:pPr>
        <w:pStyle w:val="Header"/>
        <w:tabs>
          <w:tab w:val="clear" w:pos="4536"/>
          <w:tab w:val="clear" w:pos="9072"/>
        </w:tabs>
        <w:rPr>
          <w:rFonts w:ascii="Times New Roman" w:eastAsiaTheme="minorHAnsi" w:hAnsi="Times New Roman"/>
          <w:color w:val="000000"/>
          <w:lang w:val="it-IT"/>
        </w:rPr>
      </w:pPr>
    </w:p>
    <w:p w14:paraId="4D1D1790" w14:textId="384E3E52" w:rsidR="003029E9" w:rsidRDefault="003029E9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>[50 mg]: Compressa a rilascio prolungato di colore da bianco a biancastro, rotonda e biconvessa, con un diametro di circa 12 mm.</w:t>
      </w:r>
    </w:p>
    <w:p w14:paraId="0A4BE012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701DD67C" w14:textId="1F6C40EA" w:rsidR="003029E9" w:rsidRDefault="003029E9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>[100 mg]: Compressa a rilascio prolungato di colore giallo chiaro, oblunga e biconvessa, con una lunghezza di circa 16 mm e un</w:t>
      </w:r>
      <w:r w:rsidR="00CF53D6">
        <w:rPr>
          <w:rFonts w:ascii="Times New Roman" w:hAnsi="Times New Roman" w:cs="Times New Roman"/>
          <w:lang w:bidi="it-IT"/>
        </w:rPr>
        <w:t>o spessore</w:t>
      </w:r>
      <w:r w:rsidRPr="005A042B">
        <w:rPr>
          <w:rFonts w:ascii="Times New Roman" w:hAnsi="Times New Roman" w:cs="Times New Roman"/>
          <w:lang w:bidi="it-IT"/>
        </w:rPr>
        <w:t xml:space="preserve"> di circa 7 mm.</w:t>
      </w:r>
    </w:p>
    <w:p w14:paraId="1BDFC26C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43BA57D2" w14:textId="170323A8" w:rsidR="003029E9" w:rsidRDefault="003029E9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>[150 mg]: Compressa a rilascio prolungato di colore rosa chiaro, oblunga e biconvessa, con una lunghezza di circa 18 mm e un</w:t>
      </w:r>
      <w:r w:rsidR="00CF53D6">
        <w:rPr>
          <w:rFonts w:ascii="Times New Roman" w:hAnsi="Times New Roman" w:cs="Times New Roman"/>
          <w:lang w:bidi="it-IT"/>
        </w:rPr>
        <w:t>o spessore</w:t>
      </w:r>
      <w:r w:rsidRPr="005A042B">
        <w:rPr>
          <w:rFonts w:ascii="Times New Roman" w:hAnsi="Times New Roman" w:cs="Times New Roman"/>
          <w:lang w:bidi="it-IT"/>
        </w:rPr>
        <w:t xml:space="preserve"> di circa 7,5 mm.</w:t>
      </w:r>
    </w:p>
    <w:p w14:paraId="72325F54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5EC7E808" w14:textId="6E7BA4EB" w:rsidR="003029E9" w:rsidRDefault="003029E9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>[200 mg]: Compressa a rilascio prolungato di colore ocra chiaro, oblunga e biconvessa, con una lunghezza di circa 18 mm e un</w:t>
      </w:r>
      <w:r w:rsidR="00CF53D6">
        <w:rPr>
          <w:rFonts w:ascii="Times New Roman" w:hAnsi="Times New Roman" w:cs="Times New Roman"/>
          <w:lang w:bidi="it-IT"/>
        </w:rPr>
        <w:t xml:space="preserve">o spessore </w:t>
      </w:r>
      <w:r w:rsidRPr="005A042B">
        <w:rPr>
          <w:rFonts w:ascii="Times New Roman" w:hAnsi="Times New Roman" w:cs="Times New Roman"/>
          <w:lang w:bidi="it-IT"/>
        </w:rPr>
        <w:t>di circa 7,5 mm.</w:t>
      </w:r>
    </w:p>
    <w:p w14:paraId="11801F44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4C7B18CD" w14:textId="1872B0C0" w:rsidR="003029E9" w:rsidRDefault="003029E9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>[250 mg]: Compressa a rilascio prolungato di colore rosso</w:t>
      </w:r>
      <w:r w:rsidR="000B5EFB">
        <w:rPr>
          <w:rFonts w:ascii="Times New Roman" w:hAnsi="Times New Roman" w:cs="Times New Roman"/>
          <w:lang w:bidi="it-IT"/>
        </w:rPr>
        <w:t>-</w:t>
      </w:r>
      <w:r w:rsidRPr="005A042B">
        <w:rPr>
          <w:rFonts w:ascii="Times New Roman" w:hAnsi="Times New Roman" w:cs="Times New Roman"/>
          <w:lang w:bidi="it-IT"/>
        </w:rPr>
        <w:t>marrone, oblunga e biconvessa, con una lunghezza di circa 21 mm e un</w:t>
      </w:r>
      <w:r w:rsidR="00CF53D6">
        <w:rPr>
          <w:rFonts w:ascii="Times New Roman" w:hAnsi="Times New Roman" w:cs="Times New Roman"/>
          <w:lang w:bidi="it-IT"/>
        </w:rPr>
        <w:t>o spessore</w:t>
      </w:r>
      <w:r w:rsidRPr="005A042B">
        <w:rPr>
          <w:rFonts w:ascii="Times New Roman" w:hAnsi="Times New Roman" w:cs="Times New Roman"/>
          <w:lang w:bidi="it-IT"/>
        </w:rPr>
        <w:t xml:space="preserve"> di circa 7,5 mm.</w:t>
      </w:r>
    </w:p>
    <w:p w14:paraId="7B3C3004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4516A655" w14:textId="77777777" w:rsidR="003029E9" w:rsidRPr="00721B44" w:rsidRDefault="003029E9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1DADA0C5" w14:textId="2BA049D6" w:rsidR="008543EB" w:rsidRPr="00B1724D" w:rsidRDefault="008543EB" w:rsidP="00B1724D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="009029C6" w:rsidRPr="00B1724D">
        <w:rPr>
          <w:rFonts w:ascii="Times New Roman" w:eastAsia="Times New Roman" w:hAnsi="Times New Roman" w:cs="Times New Roman"/>
          <w:b/>
          <w:szCs w:val="20"/>
        </w:rPr>
        <w:t>INFORMAZIONI</w:t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9029C6" w:rsidRPr="00B1724D">
        <w:rPr>
          <w:rFonts w:ascii="Times New Roman" w:eastAsia="Times New Roman" w:hAnsi="Times New Roman" w:cs="Times New Roman"/>
          <w:b/>
          <w:szCs w:val="20"/>
        </w:rPr>
        <w:t>CLINICHE</w:t>
      </w:r>
    </w:p>
    <w:p w14:paraId="4F0B121F" w14:textId="77777777" w:rsidR="00931244" w:rsidRPr="00721B44" w:rsidRDefault="00931244" w:rsidP="00C733B3">
      <w:pPr>
        <w:spacing w:after="0" w:line="240" w:lineRule="auto"/>
        <w:rPr>
          <w:b/>
        </w:rPr>
      </w:pPr>
    </w:p>
    <w:p w14:paraId="2F8BA1BF" w14:textId="3F3D64D1" w:rsidR="00931244" w:rsidRPr="00B1724D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4.1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Indicazioni terapeutiche</w:t>
      </w:r>
    </w:p>
    <w:p w14:paraId="28FD58E5" w14:textId="31518A1B" w:rsidR="008543EB" w:rsidRPr="005107A0" w:rsidRDefault="008543EB" w:rsidP="00B1724D">
      <w:pPr>
        <w:suppressAutoHyphens/>
        <w:spacing w:after="0" w:line="240" w:lineRule="auto"/>
        <w:ind w:left="567" w:hanging="567"/>
        <w:rPr>
          <w:color w:val="000000"/>
        </w:rPr>
      </w:pPr>
    </w:p>
    <w:p w14:paraId="1A480CEE" w14:textId="3E451669" w:rsidR="008543EB" w:rsidRDefault="00931244" w:rsidP="00C733B3">
      <w:pPr>
        <w:pStyle w:val="Default"/>
        <w:rPr>
          <w:sz w:val="22"/>
          <w:lang w:bidi="it-IT"/>
        </w:rPr>
      </w:pPr>
      <w:proofErr w:type="spellStart"/>
      <w:r>
        <w:rPr>
          <w:sz w:val="22"/>
          <w:lang w:bidi="it-IT"/>
        </w:rPr>
        <w:lastRenderedPageBreak/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>è indicato per il trattamento</w:t>
      </w:r>
      <w:r w:rsidR="002307F0">
        <w:rPr>
          <w:sz w:val="22"/>
          <w:lang w:bidi="it-IT"/>
        </w:rPr>
        <w:t>,</w:t>
      </w:r>
      <w:r w:rsidR="00F8599A">
        <w:rPr>
          <w:sz w:val="22"/>
          <w:lang w:bidi="it-IT"/>
        </w:rPr>
        <w:t xml:space="preserve"> </w:t>
      </w:r>
      <w:r w:rsidR="002307F0">
        <w:rPr>
          <w:sz w:val="22"/>
          <w:lang w:bidi="it-IT"/>
        </w:rPr>
        <w:t xml:space="preserve">negli adulti, </w:t>
      </w:r>
      <w:r w:rsidR="00F8599A">
        <w:rPr>
          <w:sz w:val="22"/>
          <w:lang w:bidi="it-IT"/>
        </w:rPr>
        <w:t xml:space="preserve">del dolore cronico </w:t>
      </w:r>
      <w:r w:rsidR="002307F0">
        <w:rPr>
          <w:sz w:val="22"/>
          <w:lang w:bidi="it-IT"/>
        </w:rPr>
        <w:t xml:space="preserve">severo </w:t>
      </w:r>
      <w:r w:rsidR="00F8599A">
        <w:rPr>
          <w:sz w:val="22"/>
          <w:lang w:bidi="it-IT"/>
        </w:rPr>
        <w:t xml:space="preserve">che può essere trattato </w:t>
      </w:r>
      <w:r w:rsidR="002307F0">
        <w:rPr>
          <w:sz w:val="22"/>
          <w:lang w:bidi="it-IT"/>
        </w:rPr>
        <w:t xml:space="preserve">in modo adeguato </w:t>
      </w:r>
      <w:r w:rsidR="00F8599A">
        <w:rPr>
          <w:sz w:val="22"/>
          <w:lang w:bidi="it-IT"/>
        </w:rPr>
        <w:t xml:space="preserve">solo con analgesici oppioidi. </w:t>
      </w:r>
    </w:p>
    <w:p w14:paraId="28FFD33D" w14:textId="77777777" w:rsidR="00931244" w:rsidRPr="00721B44" w:rsidRDefault="00931244" w:rsidP="00C733B3">
      <w:pPr>
        <w:pStyle w:val="Default"/>
        <w:rPr>
          <w:sz w:val="22"/>
        </w:rPr>
      </w:pPr>
    </w:p>
    <w:p w14:paraId="26EB8EFB" w14:textId="7B7992A2" w:rsidR="00705A00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4.2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Posologia e modo di somministrazione</w:t>
      </w:r>
    </w:p>
    <w:p w14:paraId="5924C1BA" w14:textId="01FB3E8D" w:rsidR="008543EB" w:rsidRPr="00B1724D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</w:p>
    <w:p w14:paraId="7228F068" w14:textId="3BDC0AB4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Il regime </w:t>
      </w:r>
      <w:r w:rsidR="00CC1741">
        <w:rPr>
          <w:sz w:val="22"/>
          <w:lang w:bidi="it-IT"/>
        </w:rPr>
        <w:t>posologico</w:t>
      </w:r>
      <w:r w:rsidRPr="008543EB">
        <w:rPr>
          <w:sz w:val="22"/>
          <w:lang w:bidi="it-IT"/>
        </w:rPr>
        <w:t xml:space="preserve"> deve essere definito individualmente in base alla </w:t>
      </w:r>
      <w:r w:rsidR="003336EE">
        <w:rPr>
          <w:sz w:val="22"/>
          <w:lang w:bidi="it-IT"/>
        </w:rPr>
        <w:t>intens</w:t>
      </w:r>
      <w:r w:rsidRPr="008543EB">
        <w:rPr>
          <w:sz w:val="22"/>
          <w:lang w:bidi="it-IT"/>
        </w:rPr>
        <w:t xml:space="preserve">ità del dolore da trattare, alla precedente esperienza di trattamento e alla capacità di monitorare il paziente. </w:t>
      </w:r>
    </w:p>
    <w:p w14:paraId="279BBEF1" w14:textId="7F5175CA" w:rsidR="008543EB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 xml:space="preserve">deve essere assunto due volte al giorno, ogni 12 ore circa. </w:t>
      </w:r>
    </w:p>
    <w:p w14:paraId="5E25C469" w14:textId="77777777" w:rsidR="00F8599A" w:rsidRPr="00721B44" w:rsidRDefault="00F8599A" w:rsidP="00C733B3">
      <w:pPr>
        <w:pStyle w:val="Default"/>
        <w:rPr>
          <w:i/>
          <w:sz w:val="22"/>
        </w:rPr>
      </w:pPr>
    </w:p>
    <w:p w14:paraId="1CF8F274" w14:textId="109FD11B" w:rsidR="008543EB" w:rsidRPr="00721B44" w:rsidRDefault="008543EB" w:rsidP="00C733B3">
      <w:pPr>
        <w:pStyle w:val="Default"/>
        <w:rPr>
          <w:sz w:val="22"/>
        </w:rPr>
      </w:pPr>
      <w:r w:rsidRPr="008543EB">
        <w:rPr>
          <w:i/>
          <w:sz w:val="22"/>
          <w:lang w:bidi="it-IT"/>
        </w:rPr>
        <w:t xml:space="preserve">Inizio della terapia </w:t>
      </w:r>
    </w:p>
    <w:p w14:paraId="157A09E2" w14:textId="47AC55C2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>Inizio della terapia in pazienti che</w:t>
      </w:r>
      <w:r w:rsidR="003336EE">
        <w:rPr>
          <w:sz w:val="22"/>
          <w:lang w:bidi="it-IT"/>
        </w:rPr>
        <w:t>,</w:t>
      </w:r>
      <w:r w:rsidRPr="008543EB">
        <w:rPr>
          <w:sz w:val="22"/>
          <w:lang w:bidi="it-IT"/>
        </w:rPr>
        <w:t xml:space="preserve"> </w:t>
      </w:r>
      <w:r w:rsidR="003336EE" w:rsidRPr="008543EB">
        <w:rPr>
          <w:sz w:val="22"/>
          <w:lang w:bidi="it-IT"/>
        </w:rPr>
        <w:t>a</w:t>
      </w:r>
      <w:r w:rsidR="003336EE">
        <w:rPr>
          <w:sz w:val="22"/>
          <w:lang w:bidi="it-IT"/>
        </w:rPr>
        <w:t>l momento,</w:t>
      </w:r>
      <w:r w:rsidR="003336EE" w:rsidRPr="008543EB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>non</w:t>
      </w:r>
      <w:r w:rsidR="003336EE">
        <w:rPr>
          <w:sz w:val="22"/>
          <w:lang w:bidi="it-IT"/>
        </w:rPr>
        <w:t xml:space="preserve"> stanno</w:t>
      </w:r>
      <w:r w:rsidRPr="008543EB">
        <w:rPr>
          <w:sz w:val="22"/>
          <w:lang w:bidi="it-IT"/>
        </w:rPr>
        <w:t xml:space="preserve"> assum</w:t>
      </w:r>
      <w:r w:rsidR="003336EE">
        <w:rPr>
          <w:sz w:val="22"/>
          <w:lang w:bidi="it-IT"/>
        </w:rPr>
        <w:t>end</w:t>
      </w:r>
      <w:r w:rsidRPr="008543EB">
        <w:rPr>
          <w:sz w:val="22"/>
          <w:lang w:bidi="it-IT"/>
        </w:rPr>
        <w:t xml:space="preserve">o analgesici oppioidi </w:t>
      </w:r>
    </w:p>
    <w:p w14:paraId="05D9F05B" w14:textId="1485B534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I pazienti devono iniziare il trattamento con dosi singole da 50 mg di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in compresse a rilascio prolungato somministrate due volte al giorno. </w:t>
      </w:r>
    </w:p>
    <w:p w14:paraId="3DA2E7FC" w14:textId="77777777" w:rsidR="00F8599A" w:rsidRPr="00721B44" w:rsidRDefault="00F8599A" w:rsidP="00C733B3">
      <w:pPr>
        <w:pStyle w:val="Default"/>
        <w:rPr>
          <w:sz w:val="22"/>
        </w:rPr>
      </w:pPr>
    </w:p>
    <w:p w14:paraId="14E690F4" w14:textId="3962D196" w:rsidR="008543EB" w:rsidRPr="00721B44" w:rsidRDefault="008543EB" w:rsidP="00C733B3">
      <w:pPr>
        <w:pStyle w:val="Default"/>
        <w:rPr>
          <w:i/>
          <w:sz w:val="22"/>
        </w:rPr>
      </w:pPr>
      <w:r w:rsidRPr="005A042B">
        <w:rPr>
          <w:i/>
          <w:sz w:val="22"/>
          <w:lang w:bidi="it-IT"/>
        </w:rPr>
        <w:t xml:space="preserve">Inizio della terapia in pazienti </w:t>
      </w:r>
      <w:r w:rsidR="002B172F">
        <w:rPr>
          <w:i/>
          <w:sz w:val="22"/>
          <w:lang w:bidi="it-IT"/>
        </w:rPr>
        <w:t>in trattamento con</w:t>
      </w:r>
      <w:r w:rsidRPr="005A042B">
        <w:rPr>
          <w:i/>
          <w:sz w:val="22"/>
          <w:lang w:bidi="it-IT"/>
        </w:rPr>
        <w:t xml:space="preserve"> analgesici oppioidi </w:t>
      </w:r>
    </w:p>
    <w:p w14:paraId="6C539576" w14:textId="6490F68F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Quando si passa dagli oppioidi a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e si sceglie la dose iniziale, si deve tener conto della natura del precedente farmaco, della somministrazione e della dose media giornaliera. Ciò può richiedere dosi iniziali più elevate di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>per i pazienti che attualmente assumono oppioidi rispetto a quelli che non hanno assunto</w:t>
      </w:r>
      <w:r w:rsidR="00FC678E" w:rsidRPr="008543EB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oppioidi prima di iniziare la terapia con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Pr="008543EB">
        <w:rPr>
          <w:sz w:val="22"/>
          <w:lang w:bidi="it-IT"/>
        </w:rPr>
        <w:t xml:space="preserve">. </w:t>
      </w:r>
    </w:p>
    <w:p w14:paraId="01563A1E" w14:textId="77777777" w:rsidR="00F8599A" w:rsidRPr="00721B44" w:rsidRDefault="00F8599A" w:rsidP="00C733B3">
      <w:pPr>
        <w:pStyle w:val="Default"/>
        <w:rPr>
          <w:sz w:val="22"/>
        </w:rPr>
      </w:pPr>
    </w:p>
    <w:p w14:paraId="5D99D23E" w14:textId="1F0978DD" w:rsidR="008543EB" w:rsidRPr="00721B44" w:rsidRDefault="008543EB" w:rsidP="00C733B3">
      <w:pPr>
        <w:pStyle w:val="Default"/>
        <w:rPr>
          <w:sz w:val="22"/>
        </w:rPr>
      </w:pPr>
      <w:r w:rsidRPr="008543EB">
        <w:rPr>
          <w:i/>
          <w:sz w:val="22"/>
          <w:lang w:bidi="it-IT"/>
        </w:rPr>
        <w:t xml:space="preserve">Titolazione e </w:t>
      </w:r>
      <w:r w:rsidR="00FC678E">
        <w:rPr>
          <w:i/>
          <w:sz w:val="22"/>
          <w:lang w:bidi="it-IT"/>
        </w:rPr>
        <w:t>mantenimento</w:t>
      </w:r>
      <w:r w:rsidR="00FC678E" w:rsidRPr="008543EB">
        <w:rPr>
          <w:i/>
          <w:sz w:val="22"/>
          <w:lang w:bidi="it-IT"/>
        </w:rPr>
        <w:t xml:space="preserve"> </w:t>
      </w:r>
    </w:p>
    <w:p w14:paraId="71237075" w14:textId="284FAFC1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>Dopo l</w:t>
      </w:r>
      <w:r w:rsidR="00931244">
        <w:rPr>
          <w:sz w:val="22"/>
          <w:lang w:bidi="it-IT"/>
        </w:rPr>
        <w:t>’</w:t>
      </w:r>
      <w:r w:rsidRPr="008543EB">
        <w:rPr>
          <w:sz w:val="22"/>
          <w:lang w:bidi="it-IT"/>
        </w:rPr>
        <w:t xml:space="preserve">inizio della terapia, la dose deve essere titolata </w:t>
      </w:r>
      <w:r w:rsidR="009A2209">
        <w:rPr>
          <w:sz w:val="22"/>
          <w:lang w:bidi="it-IT"/>
        </w:rPr>
        <w:t xml:space="preserve">su base </w:t>
      </w:r>
      <w:r w:rsidRPr="008543EB">
        <w:rPr>
          <w:sz w:val="22"/>
          <w:lang w:bidi="it-IT"/>
        </w:rPr>
        <w:t xml:space="preserve">individuale fino a un livello che fornisca un'adeguata analgesia e minimizzi gli effetti indesiderati, sotto la stretta supervisione del medico </w:t>
      </w:r>
      <w:r w:rsidR="00214838">
        <w:rPr>
          <w:sz w:val="22"/>
          <w:lang w:bidi="it-IT"/>
        </w:rPr>
        <w:t>prescrittore</w:t>
      </w:r>
      <w:r w:rsidRPr="008543EB">
        <w:rPr>
          <w:sz w:val="22"/>
          <w:lang w:bidi="it-IT"/>
        </w:rPr>
        <w:t xml:space="preserve">. </w:t>
      </w:r>
    </w:p>
    <w:p w14:paraId="779E33D5" w14:textId="646484AA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Gli studi clinici hanno dimostrato che un regime di titolazione con incrementi di 50 mg di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in compresse a rilascio prolungato due volte al giorno ogni 3 giorni era </w:t>
      </w:r>
      <w:r w:rsidR="008753CC">
        <w:rPr>
          <w:sz w:val="22"/>
          <w:lang w:bidi="it-IT"/>
        </w:rPr>
        <w:t>appropri</w:t>
      </w:r>
      <w:r w:rsidRPr="008543EB">
        <w:rPr>
          <w:sz w:val="22"/>
          <w:lang w:bidi="it-IT"/>
        </w:rPr>
        <w:t xml:space="preserve">ato per ottenere un adeguato controllo del dolore nella maggior parte dei pazienti. La compressa a rilascio prolungato da 25 mg di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può anche essere somministrata per regolare la dose in modo da soddisfare le esigenze individuali del paziente.</w:t>
      </w:r>
    </w:p>
    <w:p w14:paraId="3D6441B5" w14:textId="77777777" w:rsidR="005A16BD" w:rsidRPr="00721B44" w:rsidRDefault="005A16BD" w:rsidP="00C733B3">
      <w:pPr>
        <w:pStyle w:val="Default"/>
        <w:rPr>
          <w:sz w:val="22"/>
        </w:rPr>
      </w:pPr>
    </w:p>
    <w:p w14:paraId="0B3771FC" w14:textId="2D64F384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Dosi giornaliere totali di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superiori a 500 mg di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non sono state ancora studiate e quindi non sono </w:t>
      </w:r>
      <w:r w:rsidR="002B270A">
        <w:rPr>
          <w:sz w:val="22"/>
          <w:lang w:bidi="it-IT"/>
        </w:rPr>
        <w:t>raccomandate</w:t>
      </w:r>
      <w:r w:rsidRPr="008543EB">
        <w:rPr>
          <w:sz w:val="22"/>
          <w:lang w:bidi="it-IT"/>
        </w:rPr>
        <w:t xml:space="preserve">. </w:t>
      </w:r>
    </w:p>
    <w:p w14:paraId="7782DD1C" w14:textId="77777777" w:rsidR="00F8599A" w:rsidRPr="00721B44" w:rsidRDefault="00F8599A" w:rsidP="00C733B3">
      <w:pPr>
        <w:pStyle w:val="Default"/>
        <w:rPr>
          <w:sz w:val="22"/>
        </w:rPr>
      </w:pPr>
    </w:p>
    <w:p w14:paraId="691C90E8" w14:textId="3894357C" w:rsidR="008543EB" w:rsidRPr="00721B44" w:rsidRDefault="00C26E0E" w:rsidP="00C733B3">
      <w:pPr>
        <w:pStyle w:val="Default"/>
        <w:rPr>
          <w:sz w:val="22"/>
        </w:rPr>
      </w:pPr>
      <w:r>
        <w:rPr>
          <w:i/>
          <w:sz w:val="22"/>
          <w:lang w:bidi="it-IT"/>
        </w:rPr>
        <w:t>Interruzione</w:t>
      </w:r>
      <w:r w:rsidRPr="008543EB">
        <w:rPr>
          <w:i/>
          <w:sz w:val="22"/>
          <w:lang w:bidi="it-IT"/>
        </w:rPr>
        <w:t xml:space="preserve"> </w:t>
      </w:r>
      <w:r w:rsidR="008543EB" w:rsidRPr="008543EB">
        <w:rPr>
          <w:i/>
          <w:sz w:val="22"/>
          <w:lang w:bidi="it-IT"/>
        </w:rPr>
        <w:t xml:space="preserve">del trattamento </w:t>
      </w:r>
    </w:p>
    <w:p w14:paraId="07F0159C" w14:textId="18E74ACE" w:rsidR="008543EB" w:rsidRPr="00721B44" w:rsidRDefault="009A2209" w:rsidP="00C733B3">
      <w:pPr>
        <w:pStyle w:val="Default"/>
        <w:rPr>
          <w:sz w:val="22"/>
        </w:rPr>
      </w:pPr>
      <w:r w:rsidRPr="004C3DAE">
        <w:rPr>
          <w:sz w:val="22"/>
          <w:lang w:bidi="it-IT"/>
        </w:rPr>
        <w:t>I</w:t>
      </w:r>
      <w:r>
        <w:rPr>
          <w:sz w:val="22"/>
          <w:lang w:bidi="it-IT"/>
        </w:rPr>
        <w:t xml:space="preserve">n seguito a improvvisa interruzione del trattamento </w:t>
      </w:r>
      <w:r w:rsidRPr="008543EB">
        <w:rPr>
          <w:sz w:val="22"/>
          <w:lang w:bidi="it-IT"/>
        </w:rPr>
        <w:t xml:space="preserve">con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potrebbero verificarsi </w:t>
      </w:r>
      <w:r>
        <w:rPr>
          <w:sz w:val="22"/>
          <w:lang w:bidi="it-IT"/>
        </w:rPr>
        <w:t>s</w:t>
      </w:r>
      <w:r w:rsidR="008543EB" w:rsidRPr="009A2209">
        <w:rPr>
          <w:sz w:val="22"/>
          <w:lang w:bidi="it-IT"/>
        </w:rPr>
        <w:t>intomi</w:t>
      </w:r>
      <w:r w:rsidR="008543EB" w:rsidRPr="008543EB">
        <w:rPr>
          <w:sz w:val="22"/>
          <w:lang w:bidi="it-IT"/>
        </w:rPr>
        <w:t xml:space="preserve"> da astinenza (</w:t>
      </w:r>
      <w:r w:rsidR="00516634">
        <w:rPr>
          <w:sz w:val="22"/>
          <w:lang w:bidi="it-IT"/>
        </w:rPr>
        <w:t>vedere</w:t>
      </w:r>
      <w:r w:rsidR="008543EB" w:rsidRPr="008543EB">
        <w:rPr>
          <w:sz w:val="22"/>
          <w:lang w:bidi="it-IT"/>
        </w:rPr>
        <w:t xml:space="preserve"> paragrafo 4.8).</w:t>
      </w:r>
      <w:r w:rsidR="008543EB" w:rsidRPr="008543EB">
        <w:rPr>
          <w:i/>
          <w:sz w:val="22"/>
          <w:lang w:bidi="it-IT"/>
        </w:rPr>
        <w:t xml:space="preserve"> </w:t>
      </w:r>
      <w:r w:rsidR="008543EB" w:rsidRPr="008543EB">
        <w:rPr>
          <w:sz w:val="22"/>
          <w:lang w:bidi="it-IT"/>
        </w:rPr>
        <w:t xml:space="preserve">Quando un paziente non richiede più una terapia con </w:t>
      </w:r>
      <w:proofErr w:type="spellStart"/>
      <w:r w:rsidR="008543EB" w:rsidRPr="008543EB">
        <w:rPr>
          <w:sz w:val="22"/>
          <w:lang w:bidi="it-IT"/>
        </w:rPr>
        <w:t>tapentadolo</w:t>
      </w:r>
      <w:proofErr w:type="spellEnd"/>
      <w:r w:rsidR="008543EB" w:rsidRPr="008543EB">
        <w:rPr>
          <w:sz w:val="22"/>
          <w:lang w:bidi="it-IT"/>
        </w:rPr>
        <w:t xml:space="preserve">, si consiglia di ridurre gradualmente la dose per prevenire i sintomi di astinenza. </w:t>
      </w:r>
    </w:p>
    <w:p w14:paraId="500B8D86" w14:textId="77777777" w:rsidR="00F8599A" w:rsidRPr="00721B44" w:rsidRDefault="00F8599A" w:rsidP="00C733B3">
      <w:pPr>
        <w:pStyle w:val="Default"/>
        <w:rPr>
          <w:sz w:val="22"/>
        </w:rPr>
      </w:pPr>
    </w:p>
    <w:p w14:paraId="2079C8C8" w14:textId="7C2D6DCA" w:rsidR="008543EB" w:rsidRPr="00721B44" w:rsidRDefault="00606493" w:rsidP="00C733B3">
      <w:pPr>
        <w:pStyle w:val="Default"/>
        <w:rPr>
          <w:sz w:val="22"/>
        </w:rPr>
      </w:pPr>
      <w:r>
        <w:rPr>
          <w:i/>
          <w:sz w:val="22"/>
          <w:lang w:bidi="it-IT"/>
        </w:rPr>
        <w:t>Compromissione</w:t>
      </w:r>
      <w:r w:rsidR="008543EB" w:rsidRPr="00606493">
        <w:rPr>
          <w:i/>
          <w:sz w:val="22"/>
          <w:lang w:bidi="it-IT"/>
        </w:rPr>
        <w:t xml:space="preserve"> renale </w:t>
      </w:r>
    </w:p>
    <w:p w14:paraId="7B186297" w14:textId="2ADC8CAC" w:rsidR="008543EB" w:rsidRPr="00721B44" w:rsidRDefault="008543EB" w:rsidP="00C733B3">
      <w:pPr>
        <w:pStyle w:val="Default"/>
        <w:rPr>
          <w:sz w:val="22"/>
        </w:rPr>
      </w:pPr>
      <w:r w:rsidRPr="00606493">
        <w:rPr>
          <w:sz w:val="22"/>
          <w:lang w:bidi="it-IT"/>
        </w:rPr>
        <w:t xml:space="preserve">Nei pazienti con </w:t>
      </w:r>
      <w:r w:rsidR="00FA00C6">
        <w:rPr>
          <w:sz w:val="22"/>
          <w:lang w:bidi="it-IT"/>
        </w:rPr>
        <w:t>compromissione</w:t>
      </w:r>
      <w:r w:rsidR="006D34FA" w:rsidRPr="00606493">
        <w:rPr>
          <w:sz w:val="22"/>
          <w:lang w:bidi="it-IT"/>
        </w:rPr>
        <w:t xml:space="preserve"> renale </w:t>
      </w:r>
      <w:r w:rsidRPr="00606493">
        <w:rPr>
          <w:sz w:val="22"/>
          <w:lang w:bidi="it-IT"/>
        </w:rPr>
        <w:t>lieve o moderat</w:t>
      </w:r>
      <w:r w:rsidR="00C9125D">
        <w:rPr>
          <w:sz w:val="22"/>
          <w:lang w:bidi="it-IT"/>
        </w:rPr>
        <w:t>a</w:t>
      </w:r>
      <w:r w:rsidRPr="00606493">
        <w:rPr>
          <w:sz w:val="22"/>
          <w:lang w:bidi="it-IT"/>
        </w:rPr>
        <w:t xml:space="preserve"> non </w:t>
      </w:r>
      <w:r w:rsidR="007364EB" w:rsidRPr="00217EE7">
        <w:rPr>
          <w:sz w:val="22"/>
          <w:lang w:bidi="it-IT"/>
        </w:rPr>
        <w:t>occorre modificare il dosaggio</w:t>
      </w:r>
      <w:r w:rsidRPr="00AD6FB5">
        <w:rPr>
          <w:sz w:val="22"/>
          <w:lang w:bidi="it-IT"/>
        </w:rPr>
        <w:t xml:space="preserve"> (</w:t>
      </w:r>
      <w:r w:rsidR="00516634">
        <w:rPr>
          <w:sz w:val="22"/>
          <w:lang w:bidi="it-IT"/>
        </w:rPr>
        <w:t>vedere</w:t>
      </w:r>
      <w:r w:rsidRPr="00FA00C6">
        <w:rPr>
          <w:sz w:val="22"/>
          <w:lang w:bidi="it-IT"/>
        </w:rPr>
        <w:t xml:space="preserve"> paragrafo 5.2). </w:t>
      </w:r>
    </w:p>
    <w:p w14:paraId="796DAB63" w14:textId="5E082D83" w:rsidR="003029E9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 w:rsidRPr="00FA00C6">
        <w:rPr>
          <w:sz w:val="22"/>
          <w:lang w:bidi="it-IT"/>
        </w:rPr>
        <w:t xml:space="preserve">non è stato valutato in studi di efficacia controllati in pazienti con </w:t>
      </w:r>
      <w:r w:rsidR="000F6BF3" w:rsidRPr="00FA00C6">
        <w:rPr>
          <w:sz w:val="22"/>
          <w:lang w:bidi="it-IT"/>
        </w:rPr>
        <w:t xml:space="preserve">grave </w:t>
      </w:r>
      <w:r w:rsidR="00FA00C6">
        <w:rPr>
          <w:sz w:val="22"/>
          <w:lang w:bidi="it-IT"/>
        </w:rPr>
        <w:t>compromissione</w:t>
      </w:r>
      <w:r w:rsidR="000F6BF3" w:rsidRPr="00FA00C6">
        <w:rPr>
          <w:sz w:val="22"/>
          <w:lang w:bidi="it-IT"/>
        </w:rPr>
        <w:t xml:space="preserve"> </w:t>
      </w:r>
      <w:r w:rsidR="00F8599A" w:rsidRPr="00FA00C6">
        <w:rPr>
          <w:sz w:val="22"/>
          <w:lang w:bidi="it-IT"/>
        </w:rPr>
        <w:t>renale, pertanto l'uso in questa popolazione non è raccomandato (</w:t>
      </w:r>
      <w:r w:rsidR="00516634">
        <w:rPr>
          <w:sz w:val="22"/>
          <w:lang w:bidi="it-IT"/>
        </w:rPr>
        <w:t>vedere</w:t>
      </w:r>
      <w:r w:rsidR="00F8599A" w:rsidRPr="00FA00C6">
        <w:rPr>
          <w:sz w:val="22"/>
          <w:lang w:bidi="it-IT"/>
        </w:rPr>
        <w:t xml:space="preserve"> paragrafi 4.4 e 5.2). </w:t>
      </w:r>
    </w:p>
    <w:p w14:paraId="757CF056" w14:textId="77777777" w:rsidR="003029E9" w:rsidRPr="00721B44" w:rsidRDefault="003029E9" w:rsidP="00C733B3">
      <w:pPr>
        <w:pStyle w:val="Default"/>
        <w:rPr>
          <w:sz w:val="22"/>
        </w:rPr>
      </w:pPr>
    </w:p>
    <w:p w14:paraId="047F8A8C" w14:textId="6F418F74" w:rsidR="008543EB" w:rsidRPr="00721B44" w:rsidRDefault="00217EE7" w:rsidP="00C733B3">
      <w:pPr>
        <w:pStyle w:val="Default"/>
        <w:rPr>
          <w:sz w:val="22"/>
        </w:rPr>
      </w:pPr>
      <w:r>
        <w:rPr>
          <w:i/>
          <w:sz w:val="22"/>
          <w:lang w:bidi="it-IT"/>
        </w:rPr>
        <w:t>Compromissione</w:t>
      </w:r>
      <w:r w:rsidR="00FB5FEB" w:rsidRPr="00217EE7">
        <w:rPr>
          <w:i/>
          <w:sz w:val="22"/>
          <w:lang w:bidi="it-IT"/>
        </w:rPr>
        <w:t xml:space="preserve"> </w:t>
      </w:r>
      <w:r w:rsidR="008543EB" w:rsidRPr="00AD6FB5">
        <w:rPr>
          <w:i/>
          <w:sz w:val="22"/>
          <w:lang w:bidi="it-IT"/>
        </w:rPr>
        <w:t>epatica</w:t>
      </w:r>
      <w:r w:rsidR="008543EB" w:rsidRPr="008543EB">
        <w:rPr>
          <w:i/>
          <w:sz w:val="22"/>
          <w:lang w:bidi="it-IT"/>
        </w:rPr>
        <w:t xml:space="preserve"> </w:t>
      </w:r>
    </w:p>
    <w:p w14:paraId="2BF2C758" w14:textId="3026BF0C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Nei pazienti con </w:t>
      </w:r>
      <w:r w:rsidR="00AD6FB5">
        <w:rPr>
          <w:sz w:val="22"/>
          <w:lang w:bidi="it-IT"/>
        </w:rPr>
        <w:t>compromissione</w:t>
      </w:r>
      <w:r w:rsidR="008F4F7B" w:rsidRPr="008543EB">
        <w:rPr>
          <w:sz w:val="22"/>
          <w:lang w:bidi="it-IT"/>
        </w:rPr>
        <w:t xml:space="preserve"> epatic</w:t>
      </w:r>
      <w:r w:rsidR="00FA00C6">
        <w:rPr>
          <w:sz w:val="22"/>
          <w:lang w:bidi="it-IT"/>
        </w:rPr>
        <w:t>a</w:t>
      </w:r>
      <w:r w:rsidR="008F4F7B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lieve non </w:t>
      </w:r>
      <w:r w:rsidR="00CB1C4C">
        <w:rPr>
          <w:sz w:val="22"/>
          <w:lang w:bidi="it-IT"/>
        </w:rPr>
        <w:t>occorre modificare</w:t>
      </w:r>
      <w:r w:rsidRPr="008543EB">
        <w:rPr>
          <w:sz w:val="22"/>
          <w:lang w:bidi="it-IT"/>
        </w:rPr>
        <w:t xml:space="preserve"> la dose (</w:t>
      </w:r>
      <w:r w:rsidR="00516634">
        <w:rPr>
          <w:sz w:val="22"/>
          <w:lang w:bidi="it-IT"/>
        </w:rPr>
        <w:t>vedere</w:t>
      </w:r>
      <w:r w:rsidRPr="008543EB">
        <w:rPr>
          <w:sz w:val="22"/>
          <w:lang w:bidi="it-IT"/>
        </w:rPr>
        <w:t xml:space="preserve"> paragrafo 5.2). </w:t>
      </w:r>
    </w:p>
    <w:p w14:paraId="2317CE9D" w14:textId="39D1738A" w:rsidR="00F8599A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 xml:space="preserve">deve essere somministrato con cautela nei pazienti con </w:t>
      </w:r>
      <w:r w:rsidR="00FA00C6">
        <w:rPr>
          <w:sz w:val="22"/>
          <w:lang w:bidi="it-IT"/>
        </w:rPr>
        <w:t>compromissione</w:t>
      </w:r>
      <w:r w:rsidR="00D95B96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>epatic</w:t>
      </w:r>
      <w:r w:rsidR="00FA00C6">
        <w:rPr>
          <w:sz w:val="22"/>
          <w:lang w:bidi="it-IT"/>
        </w:rPr>
        <w:t>a</w:t>
      </w:r>
      <w:r w:rsidR="008F4F7B" w:rsidRPr="008F4F7B">
        <w:rPr>
          <w:sz w:val="22"/>
          <w:lang w:bidi="it-IT"/>
        </w:rPr>
        <w:t xml:space="preserve"> </w:t>
      </w:r>
      <w:r w:rsidR="008F4F7B">
        <w:rPr>
          <w:sz w:val="22"/>
          <w:lang w:bidi="it-IT"/>
        </w:rPr>
        <w:t>moderat</w:t>
      </w:r>
      <w:r w:rsidR="00FA00C6">
        <w:rPr>
          <w:sz w:val="22"/>
          <w:lang w:bidi="it-IT"/>
        </w:rPr>
        <w:t>a</w:t>
      </w:r>
      <w:r w:rsidR="00F8599A">
        <w:rPr>
          <w:sz w:val="22"/>
          <w:lang w:bidi="it-IT"/>
        </w:rPr>
        <w:t xml:space="preserve">. Il trattamento in questi pazienti deve essere </w:t>
      </w:r>
      <w:r w:rsidR="00FE2691">
        <w:rPr>
          <w:sz w:val="22"/>
          <w:lang w:bidi="it-IT"/>
        </w:rPr>
        <w:t xml:space="preserve">iniziato </w:t>
      </w:r>
      <w:r w:rsidR="00F8599A">
        <w:rPr>
          <w:sz w:val="22"/>
          <w:lang w:bidi="it-IT"/>
        </w:rPr>
        <w:t>con la più bassa dose disponibile, cioè 25 mg</w:t>
      </w:r>
      <w:r w:rsidR="00FE2691">
        <w:rPr>
          <w:sz w:val="22"/>
          <w:lang w:bidi="it-IT"/>
        </w:rPr>
        <w:t xml:space="preserve">, </w:t>
      </w:r>
      <w:r w:rsidR="00F8599A">
        <w:rPr>
          <w:sz w:val="22"/>
          <w:lang w:bidi="it-IT"/>
        </w:rPr>
        <w:t xml:space="preserve">50 mg di </w:t>
      </w:r>
      <w:proofErr w:type="spellStart"/>
      <w:r w:rsidR="00F8599A">
        <w:rPr>
          <w:sz w:val="22"/>
          <w:lang w:bidi="it-IT"/>
        </w:rPr>
        <w:t>tapentadolo</w:t>
      </w:r>
      <w:proofErr w:type="spellEnd"/>
      <w:r w:rsidR="00F8599A">
        <w:rPr>
          <w:sz w:val="22"/>
          <w:lang w:bidi="it-IT"/>
        </w:rPr>
        <w:t xml:space="preserve"> in compresse a rilascio prolungato, e non deve essere somministrato più di una volta ogni 24 ore. All'inizio della terapia non è </w:t>
      </w:r>
      <w:r w:rsidR="00D95B96">
        <w:rPr>
          <w:sz w:val="22"/>
          <w:lang w:bidi="it-IT"/>
        </w:rPr>
        <w:t xml:space="preserve">raccomandata </w:t>
      </w:r>
      <w:r w:rsidR="00F8599A">
        <w:rPr>
          <w:sz w:val="22"/>
          <w:lang w:bidi="it-IT"/>
        </w:rPr>
        <w:t xml:space="preserve">una dose giornaliera superiore a 50 mg di </w:t>
      </w:r>
      <w:proofErr w:type="spellStart"/>
      <w:r w:rsidR="00F8599A">
        <w:rPr>
          <w:sz w:val="22"/>
          <w:lang w:bidi="it-IT"/>
        </w:rPr>
        <w:t>tapentadolo</w:t>
      </w:r>
      <w:proofErr w:type="spellEnd"/>
      <w:r w:rsidR="00F8599A">
        <w:rPr>
          <w:sz w:val="22"/>
          <w:lang w:bidi="it-IT"/>
        </w:rPr>
        <w:t xml:space="preserve"> in compresse a rilascio prolungato. Il trattamento successivo deve riflettere il mantenimento dell'analgesia con una tollerabilità accettabile (</w:t>
      </w:r>
      <w:r w:rsidR="00516634">
        <w:rPr>
          <w:sz w:val="22"/>
          <w:lang w:bidi="it-IT"/>
        </w:rPr>
        <w:t>vedere</w:t>
      </w:r>
      <w:r w:rsidR="00F8599A">
        <w:rPr>
          <w:sz w:val="22"/>
          <w:lang w:bidi="it-IT"/>
        </w:rPr>
        <w:t xml:space="preserve"> paragrafi 4.4 e 5.2). </w:t>
      </w:r>
    </w:p>
    <w:p w14:paraId="0871FB85" w14:textId="32DEE78D" w:rsidR="008543EB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 xml:space="preserve">non è stato valutato in pazienti con </w:t>
      </w:r>
      <w:r w:rsidR="00FA00C6">
        <w:rPr>
          <w:sz w:val="22"/>
          <w:lang w:bidi="it-IT"/>
        </w:rPr>
        <w:t>compromissione</w:t>
      </w:r>
      <w:r w:rsidR="00B22842">
        <w:rPr>
          <w:sz w:val="22"/>
          <w:lang w:bidi="it-IT"/>
        </w:rPr>
        <w:t xml:space="preserve"> epatic</w:t>
      </w:r>
      <w:r w:rsidR="00FA00C6">
        <w:rPr>
          <w:sz w:val="22"/>
          <w:lang w:bidi="it-IT"/>
        </w:rPr>
        <w:t>a</w:t>
      </w:r>
      <w:r w:rsidR="00B22842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>sever</w:t>
      </w:r>
      <w:r w:rsidR="00FA00C6">
        <w:rPr>
          <w:sz w:val="22"/>
          <w:lang w:bidi="it-IT"/>
        </w:rPr>
        <w:t>a</w:t>
      </w:r>
      <w:r w:rsidR="00F8599A">
        <w:rPr>
          <w:sz w:val="22"/>
          <w:lang w:bidi="it-IT"/>
        </w:rPr>
        <w:t>, pertanto l'uso in questa popolazione non è raccomandato (</w:t>
      </w:r>
      <w:r w:rsidR="00516634">
        <w:rPr>
          <w:sz w:val="22"/>
          <w:lang w:bidi="it-IT"/>
        </w:rPr>
        <w:t>vedere</w:t>
      </w:r>
      <w:r w:rsidR="00F8599A">
        <w:rPr>
          <w:sz w:val="22"/>
          <w:lang w:bidi="it-IT"/>
        </w:rPr>
        <w:t xml:space="preserve"> paragrafi 4.4 e 5.2). </w:t>
      </w:r>
    </w:p>
    <w:p w14:paraId="0B947E27" w14:textId="77777777" w:rsidR="00F8599A" w:rsidRPr="00721B44" w:rsidRDefault="00F8599A" w:rsidP="00C733B3">
      <w:pPr>
        <w:pStyle w:val="Default"/>
        <w:rPr>
          <w:sz w:val="22"/>
        </w:rPr>
      </w:pPr>
    </w:p>
    <w:p w14:paraId="17CAE4F3" w14:textId="12E27EE5" w:rsidR="008543EB" w:rsidRPr="00721B44" w:rsidRDefault="008543EB" w:rsidP="00C733B3">
      <w:pPr>
        <w:pStyle w:val="Default"/>
        <w:rPr>
          <w:sz w:val="22"/>
        </w:rPr>
      </w:pPr>
      <w:r w:rsidRPr="008543EB">
        <w:rPr>
          <w:i/>
          <w:sz w:val="22"/>
          <w:lang w:bidi="it-IT"/>
        </w:rPr>
        <w:t>Pazienti anziani (</w:t>
      </w:r>
      <w:r w:rsidR="00BB4E35">
        <w:rPr>
          <w:i/>
          <w:sz w:val="22"/>
          <w:lang w:bidi="it-IT"/>
        </w:rPr>
        <w:t>soggetti di età pari o superiore ai</w:t>
      </w:r>
      <w:r w:rsidRPr="008543EB">
        <w:rPr>
          <w:i/>
          <w:sz w:val="22"/>
          <w:lang w:bidi="it-IT"/>
        </w:rPr>
        <w:t xml:space="preserve"> 65 anni) </w:t>
      </w:r>
    </w:p>
    <w:p w14:paraId="5DBE0AA1" w14:textId="695D997F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lastRenderedPageBreak/>
        <w:t>In generale, non è richiesto un adattamento della dose nei pazienti anziani. Tuttavia, poiché è più probabile che i pazienti anziani abbiano una ridotta funzionalità renale ed epatica, occorre prestare attenzione nella selezione del dos</w:t>
      </w:r>
      <w:r w:rsidR="00E27A0F">
        <w:rPr>
          <w:sz w:val="22"/>
          <w:lang w:bidi="it-IT"/>
        </w:rPr>
        <w:t>aggio</w:t>
      </w:r>
      <w:r w:rsidRPr="008543EB">
        <w:rPr>
          <w:sz w:val="22"/>
          <w:lang w:bidi="it-IT"/>
        </w:rPr>
        <w:t xml:space="preserve"> come raccomandato (</w:t>
      </w:r>
      <w:r w:rsidR="00516634">
        <w:rPr>
          <w:sz w:val="22"/>
          <w:lang w:bidi="it-IT"/>
        </w:rPr>
        <w:t>vedere</w:t>
      </w:r>
      <w:r w:rsidRPr="008543EB">
        <w:rPr>
          <w:sz w:val="22"/>
          <w:lang w:bidi="it-IT"/>
        </w:rPr>
        <w:t xml:space="preserve"> paragrafi 4.2 e 5.2). </w:t>
      </w:r>
    </w:p>
    <w:p w14:paraId="69DF329B" w14:textId="77777777" w:rsidR="00F8599A" w:rsidRPr="00721B44" w:rsidRDefault="00F8599A" w:rsidP="00C733B3">
      <w:pPr>
        <w:pStyle w:val="Default"/>
        <w:rPr>
          <w:sz w:val="22"/>
        </w:rPr>
      </w:pPr>
    </w:p>
    <w:p w14:paraId="4D89FED5" w14:textId="77777777" w:rsidR="008543EB" w:rsidRPr="00A43585" w:rsidRDefault="009475C4" w:rsidP="00C733B3">
      <w:pPr>
        <w:pStyle w:val="Default"/>
        <w:rPr>
          <w:sz w:val="22"/>
          <w:szCs w:val="22"/>
        </w:rPr>
      </w:pPr>
      <w:r>
        <w:rPr>
          <w:i/>
          <w:sz w:val="22"/>
          <w:lang w:bidi="it-IT"/>
        </w:rPr>
        <w:t>Popolazione pediatrica</w:t>
      </w:r>
    </w:p>
    <w:p w14:paraId="52C32E1C" w14:textId="38FC2A86" w:rsidR="008543EB" w:rsidRPr="00721B44" w:rsidRDefault="008543EB" w:rsidP="00C733B3">
      <w:pPr>
        <w:pStyle w:val="Kommentartext1"/>
        <w:rPr>
          <w:color w:val="000000"/>
          <w:sz w:val="22"/>
        </w:rPr>
      </w:pPr>
      <w:r w:rsidRPr="008543EB">
        <w:rPr>
          <w:sz w:val="22"/>
          <w:lang w:bidi="it-IT"/>
        </w:rPr>
        <w:t xml:space="preserve">La sicurezza e l'efficacia di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>nei bambini e negli adolescenti di età inferiore ai 18 anni non sono ancora state</w:t>
      </w:r>
      <w:r w:rsidR="00890E1C">
        <w:rPr>
          <w:sz w:val="22"/>
          <w:lang w:bidi="it-IT"/>
        </w:rPr>
        <w:t xml:space="preserve"> stabilite</w:t>
      </w:r>
      <w:r w:rsidRPr="008543EB">
        <w:rPr>
          <w:sz w:val="22"/>
          <w:lang w:bidi="it-IT"/>
        </w:rPr>
        <w:t>. Pertanto</w:t>
      </w:r>
      <w:r w:rsidR="009005A6">
        <w:rPr>
          <w:sz w:val="22"/>
          <w:lang w:bidi="it-IT"/>
        </w:rPr>
        <w:t xml:space="preserve"> l’uso di</w:t>
      </w:r>
      <w:r w:rsidRPr="008543EB">
        <w:rPr>
          <w:sz w:val="22"/>
          <w:lang w:bidi="it-IT"/>
        </w:rPr>
        <w:t xml:space="preserve"> </w:t>
      </w:r>
      <w:proofErr w:type="spellStart"/>
      <w:r w:rsidR="00B56F92">
        <w:rPr>
          <w:sz w:val="22"/>
          <w:lang w:bidi="it-IT"/>
        </w:rPr>
        <w:t>Tapentadolo</w:t>
      </w:r>
      <w:r w:rsidR="007F7C23">
        <w:rPr>
          <w:sz w:val="22"/>
          <w:lang w:bidi="it-IT"/>
        </w:rPr>
        <w:t>Liconsa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non è </w:t>
      </w:r>
      <w:r w:rsidR="009005A6">
        <w:rPr>
          <w:sz w:val="22"/>
          <w:lang w:bidi="it-IT"/>
        </w:rPr>
        <w:t xml:space="preserve">raccomandato </w:t>
      </w:r>
      <w:r w:rsidRPr="008543EB">
        <w:rPr>
          <w:sz w:val="22"/>
          <w:lang w:bidi="it-IT"/>
        </w:rPr>
        <w:t xml:space="preserve">in questa popolazione. </w:t>
      </w:r>
    </w:p>
    <w:p w14:paraId="0BA3C312" w14:textId="77777777" w:rsidR="00F8599A" w:rsidRPr="00721B44" w:rsidRDefault="00F8599A" w:rsidP="00C733B3">
      <w:pPr>
        <w:pStyle w:val="Default"/>
      </w:pPr>
    </w:p>
    <w:p w14:paraId="24CCBFB1" w14:textId="29126BFF" w:rsidR="008543EB" w:rsidRPr="00721B44" w:rsidRDefault="008543EB" w:rsidP="00C733B3">
      <w:pPr>
        <w:pStyle w:val="Standard1"/>
        <w:rPr>
          <w:color w:val="000000"/>
          <w:sz w:val="22"/>
          <w:u w:val="single"/>
        </w:rPr>
      </w:pPr>
      <w:r w:rsidRPr="00C83808">
        <w:rPr>
          <w:sz w:val="22"/>
          <w:u w:val="single"/>
        </w:rPr>
        <w:t>Modo</w:t>
      </w:r>
      <w:r w:rsidRPr="00721B44">
        <w:rPr>
          <w:sz w:val="22"/>
          <w:u w:val="single"/>
        </w:rPr>
        <w:t xml:space="preserve"> di somministrazione </w:t>
      </w:r>
    </w:p>
    <w:p w14:paraId="5DE2A2C5" w14:textId="58EB2C95" w:rsidR="008543EB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 xml:space="preserve">deve essere assunto intero, </w:t>
      </w:r>
      <w:r w:rsidR="00EE1EF2">
        <w:rPr>
          <w:sz w:val="22"/>
          <w:lang w:bidi="it-IT"/>
        </w:rPr>
        <w:t>senza</w:t>
      </w:r>
      <w:r w:rsidR="00F8599A">
        <w:rPr>
          <w:sz w:val="22"/>
          <w:lang w:bidi="it-IT"/>
        </w:rPr>
        <w:t xml:space="preserve"> divi</w:t>
      </w:r>
      <w:r w:rsidR="00EE1EF2">
        <w:rPr>
          <w:sz w:val="22"/>
          <w:lang w:bidi="it-IT"/>
        </w:rPr>
        <w:t>derlo</w:t>
      </w:r>
      <w:r w:rsidR="00F8599A">
        <w:rPr>
          <w:sz w:val="22"/>
          <w:lang w:bidi="it-IT"/>
        </w:rPr>
        <w:t xml:space="preserve"> o mastica</w:t>
      </w:r>
      <w:r w:rsidR="00EE1EF2">
        <w:rPr>
          <w:sz w:val="22"/>
          <w:lang w:bidi="it-IT"/>
        </w:rPr>
        <w:t>rl</w:t>
      </w:r>
      <w:r w:rsidR="00F8599A">
        <w:rPr>
          <w:sz w:val="22"/>
          <w:lang w:bidi="it-IT"/>
        </w:rPr>
        <w:t>o, per assicurare</w:t>
      </w:r>
      <w:r w:rsidR="00985CB5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 xml:space="preserve">che </w:t>
      </w:r>
      <w:r w:rsidR="00985CB5">
        <w:rPr>
          <w:sz w:val="22"/>
          <w:lang w:bidi="it-IT"/>
        </w:rPr>
        <w:t xml:space="preserve">il </w:t>
      </w:r>
      <w:r w:rsidR="00F8599A">
        <w:rPr>
          <w:sz w:val="22"/>
          <w:lang w:bidi="it-IT"/>
        </w:rPr>
        <w:t xml:space="preserve">meccanismo di rilascio prolungato sia mantenuto. </w:t>
      </w: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>deve essere assunto con</w:t>
      </w:r>
      <w:r w:rsidR="00EE1EF2">
        <w:rPr>
          <w:sz w:val="22"/>
          <w:lang w:bidi="it-IT"/>
        </w:rPr>
        <w:t xml:space="preserve"> una quantità</w:t>
      </w:r>
      <w:r w:rsidR="00F8599A">
        <w:rPr>
          <w:sz w:val="22"/>
          <w:lang w:bidi="it-IT"/>
        </w:rPr>
        <w:t xml:space="preserve"> sufficiente </w:t>
      </w:r>
      <w:r w:rsidR="00EE1EF2">
        <w:rPr>
          <w:sz w:val="22"/>
          <w:lang w:bidi="it-IT"/>
        </w:rPr>
        <w:t xml:space="preserve">di </w:t>
      </w:r>
      <w:r w:rsidR="00F8599A">
        <w:rPr>
          <w:sz w:val="22"/>
          <w:lang w:bidi="it-IT"/>
        </w:rPr>
        <w:t xml:space="preserve">liquido. </w:t>
      </w: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 xml:space="preserve">può essere assunto </w:t>
      </w:r>
      <w:r w:rsidR="00EE1EF2">
        <w:rPr>
          <w:sz w:val="22"/>
          <w:lang w:bidi="it-IT"/>
        </w:rPr>
        <w:t>sia a digiuno che a stomaco pieno</w:t>
      </w:r>
      <w:r w:rsidR="00F8599A">
        <w:rPr>
          <w:sz w:val="22"/>
          <w:lang w:bidi="it-IT"/>
        </w:rPr>
        <w:t xml:space="preserve">. </w:t>
      </w:r>
    </w:p>
    <w:p w14:paraId="08731D6A" w14:textId="1C0F0370" w:rsidR="00153631" w:rsidRDefault="00153631" w:rsidP="00C733B3">
      <w:pPr>
        <w:pStyle w:val="Default"/>
        <w:rPr>
          <w:sz w:val="22"/>
          <w:lang w:bidi="it-IT"/>
        </w:rPr>
      </w:pPr>
      <w:r w:rsidRPr="00153631">
        <w:rPr>
          <w:sz w:val="22"/>
          <w:lang w:bidi="it-IT"/>
        </w:rPr>
        <w:t xml:space="preserve">Il rivestimento (matrice) della compressa di </w:t>
      </w:r>
      <w:proofErr w:type="spellStart"/>
      <w:r w:rsidRPr="00153631">
        <w:rPr>
          <w:sz w:val="22"/>
          <w:lang w:bidi="it-IT"/>
        </w:rPr>
        <w:t>tapentadolo</w:t>
      </w:r>
      <w:proofErr w:type="spellEnd"/>
      <w:r w:rsidRPr="00153631">
        <w:rPr>
          <w:sz w:val="22"/>
          <w:lang w:bidi="it-IT"/>
        </w:rPr>
        <w:t xml:space="preserve"> può</w:t>
      </w:r>
      <w:r w:rsidR="005666E3" w:rsidRPr="00153631">
        <w:rPr>
          <w:sz w:val="22"/>
          <w:lang w:bidi="it-IT"/>
        </w:rPr>
        <w:t xml:space="preserve"> </w:t>
      </w:r>
      <w:r w:rsidRPr="00153631">
        <w:rPr>
          <w:sz w:val="22"/>
          <w:lang w:bidi="it-IT"/>
        </w:rPr>
        <w:t>non essere digerito completamente e quindi può</w:t>
      </w:r>
      <w:r w:rsidR="005666E3" w:rsidRPr="00153631">
        <w:rPr>
          <w:sz w:val="22"/>
          <w:lang w:bidi="it-IT"/>
        </w:rPr>
        <w:t xml:space="preserve"> </w:t>
      </w:r>
      <w:r w:rsidRPr="00153631">
        <w:rPr>
          <w:sz w:val="22"/>
          <w:lang w:bidi="it-IT"/>
        </w:rPr>
        <w:t xml:space="preserve">essere eliminato e rilevato nelle feci del paziente. Tuttavia, </w:t>
      </w:r>
      <w:r w:rsidR="00927063">
        <w:rPr>
          <w:sz w:val="22"/>
          <w:lang w:bidi="it-IT"/>
        </w:rPr>
        <w:t>ciò</w:t>
      </w:r>
      <w:r w:rsidRPr="00153631">
        <w:rPr>
          <w:sz w:val="22"/>
          <w:lang w:bidi="it-IT"/>
        </w:rPr>
        <w:t xml:space="preserve"> non ha alcuna rilevanza clinica, poiché il principio attivo della compressa sarà già stato assorbito.</w:t>
      </w:r>
    </w:p>
    <w:p w14:paraId="0C0D1189" w14:textId="77777777" w:rsidR="00931244" w:rsidRPr="00721B44" w:rsidRDefault="00931244" w:rsidP="00C733B3">
      <w:pPr>
        <w:pStyle w:val="Default"/>
        <w:rPr>
          <w:sz w:val="22"/>
        </w:rPr>
      </w:pPr>
    </w:p>
    <w:p w14:paraId="2FE248C0" w14:textId="511A3535" w:rsidR="00931244" w:rsidRDefault="008543EB" w:rsidP="00B1724D">
      <w:pPr>
        <w:suppressAutoHyphens/>
        <w:spacing w:after="0" w:line="240" w:lineRule="auto"/>
        <w:ind w:left="567" w:hanging="567"/>
        <w:rPr>
          <w:b/>
          <w:lang w:bidi="it-IT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4.3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Controindicazioni</w:t>
      </w:r>
    </w:p>
    <w:p w14:paraId="5A8B459E" w14:textId="75780D5D" w:rsidR="008543EB" w:rsidRDefault="008543EB" w:rsidP="00C733B3">
      <w:pPr>
        <w:pStyle w:val="Default"/>
        <w:rPr>
          <w:sz w:val="22"/>
          <w:szCs w:val="22"/>
        </w:rPr>
      </w:pPr>
    </w:p>
    <w:p w14:paraId="400C8A4C" w14:textId="3AD46B63" w:rsidR="00931244" w:rsidRDefault="00931244" w:rsidP="00C733B3">
      <w:pPr>
        <w:pStyle w:val="Default"/>
        <w:rPr>
          <w:sz w:val="22"/>
          <w:lang w:bidi="it-IT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>è controindicato</w:t>
      </w:r>
    </w:p>
    <w:p w14:paraId="2BFAA760" w14:textId="02288D76" w:rsidR="008543EB" w:rsidRDefault="008543EB" w:rsidP="00C733B3">
      <w:pPr>
        <w:pStyle w:val="Default"/>
        <w:rPr>
          <w:sz w:val="22"/>
          <w:szCs w:val="22"/>
        </w:rPr>
      </w:pPr>
    </w:p>
    <w:p w14:paraId="2A0DABAF" w14:textId="33DA6E43" w:rsidR="008543EB" w:rsidRPr="00721B44" w:rsidRDefault="008543EB" w:rsidP="00B1724D">
      <w:pPr>
        <w:pStyle w:val="Default"/>
        <w:numPr>
          <w:ilvl w:val="0"/>
          <w:numId w:val="5"/>
        </w:numPr>
        <w:ind w:left="360"/>
        <w:rPr>
          <w:sz w:val="22"/>
        </w:rPr>
      </w:pPr>
      <w:r w:rsidRPr="008543EB">
        <w:rPr>
          <w:sz w:val="22"/>
          <w:lang w:bidi="it-IT"/>
        </w:rPr>
        <w:t>nei pazienti con ipersensibilità al principio attivo o a</w:t>
      </w:r>
      <w:r w:rsidR="001663AD">
        <w:rPr>
          <w:sz w:val="22"/>
          <w:lang w:bidi="it-IT"/>
        </w:rPr>
        <w:t>d</w:t>
      </w:r>
      <w:r w:rsidRPr="008543EB">
        <w:rPr>
          <w:sz w:val="22"/>
          <w:lang w:bidi="it-IT"/>
        </w:rPr>
        <w:t xml:space="preserve"> uno qualsiasi degli eccipienti elencati al paragrafo 6.1</w:t>
      </w:r>
    </w:p>
    <w:p w14:paraId="74351408" w14:textId="77777777" w:rsidR="008543EB" w:rsidRPr="00721B44" w:rsidRDefault="008543EB" w:rsidP="00B1724D">
      <w:pPr>
        <w:pStyle w:val="Default"/>
        <w:rPr>
          <w:sz w:val="22"/>
        </w:rPr>
      </w:pPr>
    </w:p>
    <w:p w14:paraId="334E7C94" w14:textId="5DC4C379" w:rsidR="008543EB" w:rsidRPr="00721B44" w:rsidRDefault="008543EB" w:rsidP="00B1724D">
      <w:pPr>
        <w:pStyle w:val="Default"/>
        <w:numPr>
          <w:ilvl w:val="0"/>
          <w:numId w:val="5"/>
        </w:numPr>
        <w:ind w:left="360"/>
        <w:rPr>
          <w:sz w:val="22"/>
        </w:rPr>
      </w:pPr>
      <w:r w:rsidRPr="008543EB">
        <w:rPr>
          <w:sz w:val="22"/>
          <w:lang w:bidi="it-IT"/>
        </w:rPr>
        <w:t xml:space="preserve">in situazioni in cui i principi attivi con attività agonista sui recettori mu-oppioidi sono controindicati, vale a dire nei pazienti con </w:t>
      </w:r>
      <w:r w:rsidR="00494799">
        <w:rPr>
          <w:sz w:val="22"/>
          <w:lang w:bidi="it-IT"/>
        </w:rPr>
        <w:t>depressione</w:t>
      </w:r>
      <w:r w:rsidR="00494799" w:rsidRPr="008543EB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respiratoria significativa (in ambienti non monitorati o in assenza di attrezzature di rianimazione), e nei pazienti con asma bronchiale acuta o severa o ipercapnia </w:t>
      </w:r>
    </w:p>
    <w:p w14:paraId="6857EFE0" w14:textId="77777777" w:rsidR="008543EB" w:rsidRPr="00721B44" w:rsidRDefault="008543EB" w:rsidP="00B1724D">
      <w:pPr>
        <w:pStyle w:val="Default"/>
        <w:rPr>
          <w:sz w:val="22"/>
        </w:rPr>
      </w:pPr>
    </w:p>
    <w:p w14:paraId="109A4DF4" w14:textId="77777777" w:rsidR="008543EB" w:rsidRPr="00721B44" w:rsidRDefault="008543EB" w:rsidP="00B1724D">
      <w:pPr>
        <w:pStyle w:val="Default"/>
        <w:numPr>
          <w:ilvl w:val="0"/>
          <w:numId w:val="5"/>
        </w:numPr>
        <w:ind w:left="360"/>
        <w:rPr>
          <w:sz w:val="22"/>
        </w:rPr>
      </w:pPr>
      <w:r w:rsidRPr="008543EB">
        <w:rPr>
          <w:sz w:val="22"/>
          <w:lang w:bidi="it-IT"/>
        </w:rPr>
        <w:t xml:space="preserve">in tutti i pazienti con ileo paralitico accertato o sospetto </w:t>
      </w:r>
    </w:p>
    <w:p w14:paraId="32A9DE19" w14:textId="77777777" w:rsidR="008543EB" w:rsidRPr="00721B44" w:rsidRDefault="008543EB" w:rsidP="00B1724D">
      <w:pPr>
        <w:pStyle w:val="Default"/>
        <w:rPr>
          <w:sz w:val="22"/>
        </w:rPr>
      </w:pPr>
    </w:p>
    <w:p w14:paraId="39BA3542" w14:textId="73727C1E" w:rsidR="008543EB" w:rsidRPr="00721B44" w:rsidRDefault="008543EB" w:rsidP="00B1724D">
      <w:pPr>
        <w:pStyle w:val="Default"/>
        <w:numPr>
          <w:ilvl w:val="0"/>
          <w:numId w:val="5"/>
        </w:numPr>
        <w:ind w:left="360"/>
        <w:rPr>
          <w:sz w:val="22"/>
        </w:rPr>
      </w:pPr>
      <w:r w:rsidRPr="008543EB">
        <w:rPr>
          <w:sz w:val="22"/>
          <w:lang w:bidi="it-IT"/>
        </w:rPr>
        <w:t>nei pazienti con intossicazione acuta da alcol, sostanze ipnotiche, analgesici ad azione centrale o principi attivi psicotropi (</w:t>
      </w:r>
      <w:r w:rsidR="00516634">
        <w:rPr>
          <w:sz w:val="22"/>
          <w:lang w:bidi="it-IT"/>
        </w:rPr>
        <w:t>vedere</w:t>
      </w:r>
      <w:r w:rsidRPr="008543EB">
        <w:rPr>
          <w:sz w:val="22"/>
          <w:lang w:bidi="it-IT"/>
        </w:rPr>
        <w:t xml:space="preserve"> paragrafo 4.5) </w:t>
      </w:r>
    </w:p>
    <w:p w14:paraId="3799E617" w14:textId="77777777" w:rsidR="008543EB" w:rsidRPr="00721B44" w:rsidRDefault="008543EB" w:rsidP="00C733B3">
      <w:pPr>
        <w:pStyle w:val="Default"/>
        <w:rPr>
          <w:sz w:val="22"/>
        </w:rPr>
      </w:pPr>
    </w:p>
    <w:p w14:paraId="261CD447" w14:textId="68C79FD6" w:rsidR="008543EB" w:rsidRPr="00F144A0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4.4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Avvertenze speciali e </w:t>
      </w:r>
      <w:r w:rsidR="00194D37" w:rsidRPr="00B1724D">
        <w:rPr>
          <w:rFonts w:ascii="Times New Roman" w:eastAsia="Times New Roman" w:hAnsi="Times New Roman" w:cs="Times New Roman"/>
          <w:b/>
          <w:szCs w:val="20"/>
        </w:rPr>
        <w:t>precauzioni di impiego</w:t>
      </w:r>
    </w:p>
    <w:p w14:paraId="0E63E890" w14:textId="77777777" w:rsidR="00931244" w:rsidRPr="00721B44" w:rsidRDefault="00931244" w:rsidP="00C733B3">
      <w:pPr>
        <w:pStyle w:val="Default"/>
        <w:rPr>
          <w:sz w:val="22"/>
        </w:rPr>
      </w:pPr>
    </w:p>
    <w:p w14:paraId="5EF23D0C" w14:textId="77777777" w:rsidR="005107A0" w:rsidRPr="005107A0" w:rsidRDefault="005107A0" w:rsidP="005107A0">
      <w:pPr>
        <w:pStyle w:val="Default"/>
        <w:rPr>
          <w:i/>
          <w:sz w:val="22"/>
          <w:lang w:bidi="it-IT"/>
        </w:rPr>
      </w:pPr>
      <w:r w:rsidRPr="005107A0">
        <w:rPr>
          <w:i/>
          <w:sz w:val="22"/>
          <w:lang w:bidi="it-IT"/>
        </w:rPr>
        <w:t>Tolleranza e disturbo da uso di oppioidi (abuso e dipendenza)</w:t>
      </w:r>
    </w:p>
    <w:p w14:paraId="5FA0399E" w14:textId="22E68D18" w:rsidR="005107A0" w:rsidRPr="00F144A0" w:rsidRDefault="005107A0" w:rsidP="005107A0">
      <w:pPr>
        <w:pStyle w:val="Default"/>
        <w:rPr>
          <w:sz w:val="22"/>
          <w:lang w:bidi="it-IT"/>
        </w:rPr>
      </w:pPr>
      <w:r w:rsidRPr="00F144A0">
        <w:rPr>
          <w:sz w:val="22"/>
          <w:lang w:bidi="it-IT"/>
        </w:rPr>
        <w:t>Dopo somministrazioni ripetute di oppioidi si possono manifestare tolleranza, dipendenza</w:t>
      </w:r>
      <w:r>
        <w:rPr>
          <w:sz w:val="22"/>
          <w:lang w:bidi="it-IT"/>
        </w:rPr>
        <w:t xml:space="preserve"> </w:t>
      </w:r>
      <w:r w:rsidRPr="00F144A0">
        <w:rPr>
          <w:sz w:val="22"/>
          <w:lang w:bidi="it-IT"/>
        </w:rPr>
        <w:t>fisica, dipendenza psicologica e disturbo da uso di oppioidi (OUD). L'abuso o l’uso improprio</w:t>
      </w:r>
      <w:r>
        <w:rPr>
          <w:sz w:val="22"/>
          <w:lang w:bidi="it-IT"/>
        </w:rPr>
        <w:t xml:space="preserve"> </w:t>
      </w:r>
      <w:r w:rsidRPr="00F144A0">
        <w:rPr>
          <w:sz w:val="22"/>
          <w:lang w:bidi="it-IT"/>
        </w:rPr>
        <w:t>intenzionale di oppioidi può portare a sovradosaggio e/o morte. Il rischio di sviluppare OUD è</w:t>
      </w:r>
      <w:r>
        <w:rPr>
          <w:sz w:val="22"/>
          <w:lang w:bidi="it-IT"/>
        </w:rPr>
        <w:t xml:space="preserve"> </w:t>
      </w:r>
      <w:r w:rsidRPr="00F144A0">
        <w:rPr>
          <w:sz w:val="22"/>
          <w:lang w:bidi="it-IT"/>
        </w:rPr>
        <w:t>maggiore nei pazienti con una storia personale o familiare (genitori o fratelli) di disturbi da</w:t>
      </w:r>
      <w:r>
        <w:rPr>
          <w:sz w:val="22"/>
          <w:lang w:bidi="it-IT"/>
        </w:rPr>
        <w:t xml:space="preserve"> </w:t>
      </w:r>
      <w:r w:rsidRPr="00F144A0">
        <w:rPr>
          <w:sz w:val="22"/>
          <w:lang w:bidi="it-IT"/>
        </w:rPr>
        <w:t>uso di sostanze (incluso il disturbo da uso di alcol), in consumatori di tabacco o in pazienti con</w:t>
      </w:r>
      <w:r>
        <w:rPr>
          <w:sz w:val="22"/>
          <w:lang w:bidi="it-IT"/>
        </w:rPr>
        <w:t xml:space="preserve"> </w:t>
      </w:r>
      <w:r w:rsidRPr="00F144A0">
        <w:rPr>
          <w:sz w:val="22"/>
          <w:lang w:bidi="it-IT"/>
        </w:rPr>
        <w:t xml:space="preserve">una storia personale di disturbi mentali (per </w:t>
      </w:r>
      <w:proofErr w:type="spellStart"/>
      <w:r w:rsidRPr="00F144A0">
        <w:rPr>
          <w:sz w:val="22"/>
          <w:lang w:bidi="it-IT"/>
        </w:rPr>
        <w:t>es</w:t>
      </w:r>
      <w:proofErr w:type="spellEnd"/>
      <w:r w:rsidRPr="00F144A0">
        <w:rPr>
          <w:sz w:val="22"/>
          <w:lang w:bidi="it-IT"/>
        </w:rPr>
        <w:t>, depressione maggiore, ansia e disturbi della</w:t>
      </w:r>
      <w:r>
        <w:rPr>
          <w:sz w:val="22"/>
          <w:lang w:bidi="it-IT"/>
        </w:rPr>
        <w:t xml:space="preserve"> </w:t>
      </w:r>
      <w:r w:rsidRPr="00F144A0">
        <w:rPr>
          <w:sz w:val="22"/>
          <w:lang w:bidi="it-IT"/>
        </w:rPr>
        <w:t>personalità).</w:t>
      </w:r>
    </w:p>
    <w:p w14:paraId="7FF0C659" w14:textId="28657118" w:rsidR="005107A0" w:rsidRDefault="005107A0" w:rsidP="00C733B3">
      <w:pPr>
        <w:pStyle w:val="Default"/>
        <w:rPr>
          <w:i/>
          <w:sz w:val="22"/>
          <w:lang w:bidi="it-IT"/>
        </w:rPr>
      </w:pPr>
      <w:r w:rsidRPr="00F144A0">
        <w:rPr>
          <w:lang w:bidi="it-IT"/>
        </w:rPr>
        <w:t>I pazienti dovranno essere monitorati per individuare i segni di comportamenti di ricerca di</w:t>
      </w:r>
      <w:r>
        <w:rPr>
          <w:sz w:val="22"/>
          <w:lang w:bidi="it-IT"/>
        </w:rPr>
        <w:t xml:space="preserve"> </w:t>
      </w:r>
      <w:r w:rsidRPr="005107A0">
        <w:rPr>
          <w:sz w:val="22"/>
          <w:lang w:bidi="it-IT"/>
        </w:rPr>
        <w:t>sostanza d</w:t>
      </w:r>
      <w:r>
        <w:rPr>
          <w:sz w:val="22"/>
          <w:lang w:bidi="it-IT"/>
        </w:rPr>
        <w:t>’</w:t>
      </w:r>
      <w:r w:rsidRPr="00F144A0">
        <w:rPr>
          <w:lang w:bidi="it-IT"/>
        </w:rPr>
        <w:t>abuso (per es. richieste troppo ravvicinate di nuove prescrizioni). Ciò include la</w:t>
      </w:r>
      <w:r>
        <w:rPr>
          <w:sz w:val="22"/>
          <w:lang w:bidi="it-IT"/>
        </w:rPr>
        <w:t xml:space="preserve"> </w:t>
      </w:r>
      <w:r w:rsidRPr="00F144A0">
        <w:rPr>
          <w:lang w:bidi="it-IT"/>
        </w:rPr>
        <w:t>valutazione di oppioidi e psicofarmaci concomitanti (come le benzodiazepine). Per i pazienti</w:t>
      </w:r>
      <w:r>
        <w:rPr>
          <w:sz w:val="22"/>
          <w:lang w:bidi="it-IT"/>
        </w:rPr>
        <w:t xml:space="preserve"> </w:t>
      </w:r>
      <w:r w:rsidRPr="00F144A0">
        <w:rPr>
          <w:lang w:bidi="it-IT"/>
        </w:rPr>
        <w:t>con segni e sintomi di OUD, deve essere preso in considerazione un consulto con un esperto di</w:t>
      </w:r>
      <w:r>
        <w:rPr>
          <w:sz w:val="22"/>
          <w:lang w:bidi="it-IT"/>
        </w:rPr>
        <w:t xml:space="preserve"> </w:t>
      </w:r>
      <w:r w:rsidRPr="00F144A0">
        <w:rPr>
          <w:lang w:bidi="it-IT"/>
        </w:rPr>
        <w:t xml:space="preserve">problemi di assuefazione. </w:t>
      </w:r>
    </w:p>
    <w:p w14:paraId="52F64595" w14:textId="77777777" w:rsidR="005107A0" w:rsidRDefault="005107A0" w:rsidP="00C733B3">
      <w:pPr>
        <w:pStyle w:val="Default"/>
        <w:rPr>
          <w:i/>
          <w:sz w:val="22"/>
          <w:lang w:bidi="it-IT"/>
        </w:rPr>
      </w:pPr>
    </w:p>
    <w:p w14:paraId="769C902E" w14:textId="4D4BC8E2" w:rsidR="00170EB7" w:rsidRPr="00721B44" w:rsidRDefault="00170EB7" w:rsidP="00C733B3">
      <w:pPr>
        <w:pStyle w:val="Default"/>
        <w:rPr>
          <w:i/>
          <w:sz w:val="22"/>
        </w:rPr>
      </w:pPr>
      <w:r w:rsidRPr="00170EB7">
        <w:rPr>
          <w:i/>
          <w:sz w:val="22"/>
          <w:lang w:bidi="it-IT"/>
        </w:rPr>
        <w:t>Rischio dovuto all</w:t>
      </w:r>
      <w:r w:rsidR="005107A0">
        <w:rPr>
          <w:i/>
          <w:sz w:val="22"/>
          <w:lang w:bidi="it-IT"/>
        </w:rPr>
        <w:t>’</w:t>
      </w:r>
      <w:r w:rsidRPr="00170EB7">
        <w:rPr>
          <w:i/>
          <w:sz w:val="22"/>
          <w:lang w:bidi="it-IT"/>
        </w:rPr>
        <w:t xml:space="preserve">uso concomitante di farmaci sedativi come le benzodiazepine o sostanze correlate </w:t>
      </w:r>
    </w:p>
    <w:p w14:paraId="0BAA1054" w14:textId="3CDB277E" w:rsidR="00170EB7" w:rsidRPr="00721B44" w:rsidRDefault="00170EB7" w:rsidP="00C733B3">
      <w:pPr>
        <w:pStyle w:val="Default"/>
        <w:rPr>
          <w:sz w:val="22"/>
        </w:rPr>
      </w:pPr>
      <w:r w:rsidRPr="00B63601">
        <w:rPr>
          <w:sz w:val="22"/>
          <w:lang w:bidi="it-IT"/>
        </w:rPr>
        <w:t xml:space="preserve">L'uso concomitante di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B63601">
        <w:rPr>
          <w:sz w:val="22"/>
          <w:lang w:bidi="it-IT"/>
        </w:rPr>
        <w:t xml:space="preserve">e di farmaci </w:t>
      </w:r>
      <w:bookmarkStart w:id="2" w:name="_Hlk113965610"/>
      <w:r w:rsidRPr="00B63601">
        <w:rPr>
          <w:sz w:val="22"/>
          <w:lang w:bidi="it-IT"/>
        </w:rPr>
        <w:t>sedativi</w:t>
      </w:r>
      <w:bookmarkEnd w:id="2"/>
      <w:r w:rsidRPr="00B63601">
        <w:rPr>
          <w:sz w:val="22"/>
          <w:lang w:bidi="it-IT"/>
        </w:rPr>
        <w:t xml:space="preserve"> come le benzodiazepine o sostanze correlate può </w:t>
      </w:r>
      <w:r w:rsidR="00813ECD">
        <w:rPr>
          <w:sz w:val="22"/>
          <w:lang w:bidi="it-IT"/>
        </w:rPr>
        <w:t>causare</w:t>
      </w:r>
      <w:r w:rsidR="00813ECD" w:rsidRPr="00B63601">
        <w:rPr>
          <w:sz w:val="22"/>
          <w:lang w:bidi="it-IT"/>
        </w:rPr>
        <w:t xml:space="preserve"> </w:t>
      </w:r>
      <w:r w:rsidRPr="00B63601">
        <w:rPr>
          <w:sz w:val="22"/>
          <w:lang w:bidi="it-IT"/>
        </w:rPr>
        <w:t xml:space="preserve">sedazione, </w:t>
      </w:r>
      <w:r w:rsidR="00813ECD">
        <w:rPr>
          <w:sz w:val="22"/>
          <w:lang w:bidi="it-IT"/>
        </w:rPr>
        <w:t>depressione</w:t>
      </w:r>
      <w:r w:rsidR="00813ECD" w:rsidRPr="00B63601">
        <w:rPr>
          <w:sz w:val="22"/>
          <w:lang w:bidi="it-IT"/>
        </w:rPr>
        <w:t xml:space="preserve"> </w:t>
      </w:r>
      <w:r w:rsidRPr="00B63601">
        <w:rPr>
          <w:sz w:val="22"/>
          <w:lang w:bidi="it-IT"/>
        </w:rPr>
        <w:t>respiratoria, coma e morte. A causa di questi rischi, la prescrizione concomitante con</w:t>
      </w:r>
      <w:r w:rsidR="00813ECD" w:rsidRPr="00B63601">
        <w:rPr>
          <w:sz w:val="22"/>
          <w:lang w:bidi="it-IT"/>
        </w:rPr>
        <w:t xml:space="preserve"> </w:t>
      </w:r>
      <w:r w:rsidRPr="00B63601">
        <w:rPr>
          <w:sz w:val="22"/>
          <w:lang w:bidi="it-IT"/>
        </w:rPr>
        <w:t xml:space="preserve">questi farmaci sedativi deve essere riservata ai pazienti per i quali non sono possibili opzioni di trattamento alternative. Se si decide di prescrivere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7268E8">
        <w:rPr>
          <w:sz w:val="22"/>
          <w:lang w:bidi="it-IT"/>
        </w:rPr>
        <w:t>insieme</w:t>
      </w:r>
      <w:r w:rsidRPr="00B63601">
        <w:rPr>
          <w:sz w:val="22"/>
          <w:lang w:bidi="it-IT"/>
        </w:rPr>
        <w:t xml:space="preserve"> </w:t>
      </w:r>
      <w:r w:rsidR="007268E8">
        <w:rPr>
          <w:sz w:val="22"/>
          <w:lang w:bidi="it-IT"/>
        </w:rPr>
        <w:t>a</w:t>
      </w:r>
      <w:r w:rsidRPr="00B63601">
        <w:rPr>
          <w:sz w:val="22"/>
          <w:lang w:bidi="it-IT"/>
        </w:rPr>
        <w:t xml:space="preserve"> farmaci sedativi, si deve</w:t>
      </w:r>
      <w:r w:rsidR="007268E8">
        <w:rPr>
          <w:sz w:val="22"/>
          <w:lang w:bidi="it-IT"/>
        </w:rPr>
        <w:t xml:space="preserve"> prendere in</w:t>
      </w:r>
      <w:r w:rsidRPr="00B63601">
        <w:rPr>
          <w:sz w:val="22"/>
          <w:lang w:bidi="it-IT"/>
        </w:rPr>
        <w:t xml:space="preserve"> considera</w:t>
      </w:r>
      <w:r w:rsidR="007268E8">
        <w:rPr>
          <w:sz w:val="22"/>
          <w:lang w:bidi="it-IT"/>
        </w:rPr>
        <w:t>zione</w:t>
      </w:r>
      <w:r w:rsidRPr="00B63601">
        <w:rPr>
          <w:sz w:val="22"/>
          <w:lang w:bidi="it-IT"/>
        </w:rPr>
        <w:t xml:space="preserve"> la riduzione del</w:t>
      </w:r>
      <w:r w:rsidR="007268E8">
        <w:rPr>
          <w:sz w:val="22"/>
          <w:lang w:bidi="it-IT"/>
        </w:rPr>
        <w:t xml:space="preserve"> </w:t>
      </w:r>
      <w:r w:rsidRPr="00B63601">
        <w:rPr>
          <w:sz w:val="22"/>
          <w:lang w:bidi="it-IT"/>
        </w:rPr>
        <w:t>dos</w:t>
      </w:r>
      <w:r w:rsidR="007268E8">
        <w:rPr>
          <w:sz w:val="22"/>
          <w:lang w:bidi="it-IT"/>
        </w:rPr>
        <w:t>aggio</w:t>
      </w:r>
      <w:r w:rsidRPr="00B63601">
        <w:rPr>
          <w:sz w:val="22"/>
          <w:lang w:bidi="it-IT"/>
        </w:rPr>
        <w:t xml:space="preserve"> di uno o </w:t>
      </w:r>
      <w:r w:rsidR="007268E8">
        <w:rPr>
          <w:sz w:val="22"/>
          <w:lang w:bidi="it-IT"/>
        </w:rPr>
        <w:t xml:space="preserve">di </w:t>
      </w:r>
      <w:r w:rsidRPr="00B63601">
        <w:rPr>
          <w:sz w:val="22"/>
          <w:lang w:bidi="it-IT"/>
        </w:rPr>
        <w:t xml:space="preserve">entrambi gli agenti e la durata del trattamento concomitante deve essere la più breve possibile. </w:t>
      </w:r>
    </w:p>
    <w:p w14:paraId="16411EA4" w14:textId="77777777" w:rsidR="00170EB7" w:rsidRPr="00721B44" w:rsidRDefault="00170EB7" w:rsidP="00C733B3">
      <w:pPr>
        <w:pStyle w:val="Default"/>
        <w:rPr>
          <w:sz w:val="22"/>
        </w:rPr>
      </w:pPr>
    </w:p>
    <w:p w14:paraId="42969A22" w14:textId="231D31B8" w:rsidR="00170EB7" w:rsidRPr="00721B44" w:rsidRDefault="00170EB7" w:rsidP="00C733B3">
      <w:pPr>
        <w:pStyle w:val="Default"/>
        <w:rPr>
          <w:sz w:val="22"/>
        </w:rPr>
      </w:pPr>
      <w:r w:rsidRPr="00B63601">
        <w:rPr>
          <w:sz w:val="22"/>
          <w:lang w:bidi="it-IT"/>
        </w:rPr>
        <w:t xml:space="preserve">I pazienti devono essere </w:t>
      </w:r>
      <w:r w:rsidR="00DC1514">
        <w:rPr>
          <w:sz w:val="22"/>
          <w:lang w:bidi="it-IT"/>
        </w:rPr>
        <w:t xml:space="preserve">monitorati </w:t>
      </w:r>
      <w:r w:rsidRPr="00B63601">
        <w:rPr>
          <w:sz w:val="22"/>
          <w:lang w:bidi="it-IT"/>
        </w:rPr>
        <w:t xml:space="preserve">attentamente per </w:t>
      </w:r>
      <w:r w:rsidR="00DC1514">
        <w:rPr>
          <w:sz w:val="22"/>
          <w:lang w:bidi="it-IT"/>
        </w:rPr>
        <w:t>la comparsa di</w:t>
      </w:r>
      <w:r w:rsidR="00DC1514" w:rsidRPr="00B63601">
        <w:rPr>
          <w:sz w:val="22"/>
          <w:lang w:bidi="it-IT"/>
        </w:rPr>
        <w:t xml:space="preserve"> </w:t>
      </w:r>
      <w:r w:rsidRPr="00B63601">
        <w:rPr>
          <w:sz w:val="22"/>
          <w:lang w:bidi="it-IT"/>
        </w:rPr>
        <w:t xml:space="preserve">eventuali segni e sintomi di </w:t>
      </w:r>
      <w:r w:rsidR="00DC1514">
        <w:rPr>
          <w:sz w:val="22"/>
          <w:lang w:bidi="it-IT"/>
        </w:rPr>
        <w:t>depressione</w:t>
      </w:r>
      <w:r w:rsidR="00DC1514" w:rsidRPr="00B63601">
        <w:rPr>
          <w:sz w:val="22"/>
          <w:lang w:bidi="it-IT"/>
        </w:rPr>
        <w:t xml:space="preserve"> </w:t>
      </w:r>
      <w:r w:rsidRPr="00B63601">
        <w:rPr>
          <w:sz w:val="22"/>
          <w:lang w:bidi="it-IT"/>
        </w:rPr>
        <w:t xml:space="preserve">respiratoria e sedazione. A questo proposito, si raccomanda </w:t>
      </w:r>
      <w:r w:rsidR="00DC1514">
        <w:rPr>
          <w:sz w:val="22"/>
          <w:lang w:bidi="it-IT"/>
        </w:rPr>
        <w:t>forte</w:t>
      </w:r>
      <w:r w:rsidR="00DC1514" w:rsidRPr="00B63601">
        <w:rPr>
          <w:sz w:val="22"/>
          <w:lang w:bidi="it-IT"/>
        </w:rPr>
        <w:t xml:space="preserve">mente </w:t>
      </w:r>
      <w:r w:rsidRPr="00B63601">
        <w:rPr>
          <w:sz w:val="22"/>
          <w:lang w:bidi="it-IT"/>
        </w:rPr>
        <w:t>di informare i pazienti e chi li assiste affinché siano</w:t>
      </w:r>
      <w:r w:rsidR="00DC1514">
        <w:rPr>
          <w:sz w:val="22"/>
          <w:lang w:bidi="it-IT"/>
        </w:rPr>
        <w:t xml:space="preserve"> a</w:t>
      </w:r>
      <w:r w:rsidRPr="00B63601">
        <w:rPr>
          <w:sz w:val="22"/>
          <w:lang w:bidi="it-IT"/>
        </w:rPr>
        <w:t xml:space="preserve"> conoscenza di questi sintomi (</w:t>
      </w:r>
      <w:r w:rsidR="00516634">
        <w:rPr>
          <w:sz w:val="22"/>
          <w:lang w:bidi="it-IT"/>
        </w:rPr>
        <w:t>vedere</w:t>
      </w:r>
      <w:r w:rsidRPr="00B63601">
        <w:rPr>
          <w:sz w:val="22"/>
          <w:lang w:bidi="it-IT"/>
        </w:rPr>
        <w:t xml:space="preserve"> paragrafo 4.5).</w:t>
      </w:r>
    </w:p>
    <w:p w14:paraId="78258117" w14:textId="77777777" w:rsidR="00170EB7" w:rsidRPr="00721B44" w:rsidRDefault="00170EB7" w:rsidP="00C733B3">
      <w:pPr>
        <w:pStyle w:val="Default"/>
        <w:rPr>
          <w:sz w:val="22"/>
        </w:rPr>
      </w:pPr>
    </w:p>
    <w:p w14:paraId="5D4A195E" w14:textId="3209193E" w:rsidR="008543EB" w:rsidRPr="00721B44" w:rsidRDefault="004A4326" w:rsidP="00C733B3">
      <w:pPr>
        <w:pStyle w:val="Default"/>
        <w:rPr>
          <w:sz w:val="22"/>
        </w:rPr>
      </w:pPr>
      <w:r>
        <w:rPr>
          <w:i/>
          <w:sz w:val="22"/>
          <w:lang w:bidi="it-IT"/>
        </w:rPr>
        <w:t>Depressione</w:t>
      </w:r>
      <w:r w:rsidR="008543EB" w:rsidRPr="008543EB">
        <w:rPr>
          <w:i/>
          <w:sz w:val="22"/>
          <w:lang w:bidi="it-IT"/>
        </w:rPr>
        <w:t xml:space="preserve"> respiratoria </w:t>
      </w:r>
    </w:p>
    <w:p w14:paraId="0E7FAAEE" w14:textId="7B4C93BC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A dosi elevate o </w:t>
      </w:r>
      <w:r w:rsidR="00AB065D">
        <w:rPr>
          <w:sz w:val="22"/>
          <w:lang w:bidi="it-IT"/>
        </w:rPr>
        <w:t>nei</w:t>
      </w:r>
      <w:r w:rsidRPr="008543EB">
        <w:rPr>
          <w:sz w:val="22"/>
          <w:lang w:bidi="it-IT"/>
        </w:rPr>
        <w:t xml:space="preserve"> pazienti sensibili agli agonisti dei recettori mu-oppioidi,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può produrre </w:t>
      </w:r>
      <w:r w:rsidR="00AB065D">
        <w:rPr>
          <w:sz w:val="22"/>
          <w:lang w:bidi="it-IT"/>
        </w:rPr>
        <w:t>depressione</w:t>
      </w:r>
      <w:r w:rsidRPr="008543EB">
        <w:rPr>
          <w:sz w:val="22"/>
          <w:lang w:bidi="it-IT"/>
        </w:rPr>
        <w:t xml:space="preserve"> respiratoria </w:t>
      </w:r>
      <w:r w:rsidR="00AB065D">
        <w:rPr>
          <w:sz w:val="22"/>
          <w:lang w:bidi="it-IT"/>
        </w:rPr>
        <w:t xml:space="preserve">dose </w:t>
      </w:r>
      <w:r w:rsidRPr="008543EB">
        <w:rPr>
          <w:sz w:val="22"/>
          <w:lang w:bidi="it-IT"/>
        </w:rPr>
        <w:t xml:space="preserve">correlata. Pertanto,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>deve essere somministrato con cautela a pazienti con funzionalità respiratorie compromesse.</w:t>
      </w:r>
      <w:r w:rsidR="00AE2890" w:rsidRPr="008543EB">
        <w:rPr>
          <w:sz w:val="22"/>
          <w:lang w:bidi="it-IT"/>
        </w:rPr>
        <w:t xml:space="preserve"> </w:t>
      </w:r>
      <w:r w:rsidR="00AE2890">
        <w:rPr>
          <w:sz w:val="22"/>
          <w:lang w:bidi="it-IT"/>
        </w:rPr>
        <w:t xml:space="preserve">É </w:t>
      </w:r>
      <w:r w:rsidR="00E54586">
        <w:rPr>
          <w:sz w:val="22"/>
          <w:lang w:bidi="it-IT"/>
        </w:rPr>
        <w:t>necessario</w:t>
      </w:r>
      <w:r w:rsidRPr="008543EB">
        <w:rPr>
          <w:sz w:val="22"/>
          <w:lang w:bidi="it-IT"/>
        </w:rPr>
        <w:t xml:space="preserve"> pre</w:t>
      </w:r>
      <w:r w:rsidR="00E54586">
        <w:rPr>
          <w:sz w:val="22"/>
          <w:lang w:bidi="it-IT"/>
        </w:rPr>
        <w:t>ndere</w:t>
      </w:r>
      <w:r w:rsidRPr="008543EB">
        <w:rPr>
          <w:sz w:val="22"/>
          <w:lang w:bidi="it-IT"/>
        </w:rPr>
        <w:t xml:space="preserve"> in considerazione </w:t>
      </w:r>
      <w:r w:rsidR="00E54586">
        <w:rPr>
          <w:sz w:val="22"/>
          <w:lang w:bidi="it-IT"/>
        </w:rPr>
        <w:t xml:space="preserve">degli </w:t>
      </w:r>
      <w:r w:rsidRPr="008543EB">
        <w:rPr>
          <w:sz w:val="22"/>
          <w:lang w:bidi="it-IT"/>
        </w:rPr>
        <w:t>analgesici alternativi</w:t>
      </w:r>
      <w:r w:rsidR="00E54586">
        <w:rPr>
          <w:sz w:val="22"/>
          <w:lang w:bidi="it-IT"/>
        </w:rPr>
        <w:t>,</w:t>
      </w:r>
      <w:r w:rsidRPr="008543EB">
        <w:rPr>
          <w:sz w:val="22"/>
          <w:lang w:bidi="it-IT"/>
        </w:rPr>
        <w:t xml:space="preserve"> non agonisti dei recettori mu-oppioidi e</w:t>
      </w:r>
      <w:r w:rsidR="00095209">
        <w:rPr>
          <w:sz w:val="22"/>
          <w:lang w:bidi="it-IT"/>
        </w:rPr>
        <w:t>,</w:t>
      </w:r>
      <w:r w:rsidRPr="008543EB">
        <w:rPr>
          <w:sz w:val="22"/>
          <w:lang w:bidi="it-IT"/>
        </w:rPr>
        <w:t xml:space="preserve"> </w:t>
      </w:r>
      <w:r w:rsidR="00095209" w:rsidRPr="008543EB">
        <w:rPr>
          <w:sz w:val="22"/>
          <w:lang w:bidi="it-IT"/>
        </w:rPr>
        <w:t>in tali pazienti</w:t>
      </w:r>
      <w:r w:rsidR="00095209">
        <w:rPr>
          <w:sz w:val="22"/>
          <w:lang w:bidi="it-IT"/>
        </w:rPr>
        <w:t xml:space="preserve">,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>deve essere somministrato solo sotto attent</w:t>
      </w:r>
      <w:r w:rsidR="00095209">
        <w:rPr>
          <w:sz w:val="22"/>
          <w:lang w:bidi="it-IT"/>
        </w:rPr>
        <w:t>a</w:t>
      </w:r>
      <w:r w:rsidRPr="008543EB">
        <w:rPr>
          <w:sz w:val="22"/>
          <w:lang w:bidi="it-IT"/>
        </w:rPr>
        <w:t xml:space="preserve"> </w:t>
      </w:r>
      <w:r w:rsidR="00095209">
        <w:rPr>
          <w:sz w:val="22"/>
          <w:lang w:bidi="it-IT"/>
        </w:rPr>
        <w:t>supervisione</w:t>
      </w:r>
      <w:r w:rsidRPr="008543EB">
        <w:rPr>
          <w:sz w:val="22"/>
          <w:lang w:bidi="it-IT"/>
        </w:rPr>
        <w:t xml:space="preserve"> medic</w:t>
      </w:r>
      <w:r w:rsidR="00095209">
        <w:rPr>
          <w:sz w:val="22"/>
          <w:lang w:bidi="it-IT"/>
        </w:rPr>
        <w:t>a</w:t>
      </w:r>
      <w:r w:rsidRPr="008543EB">
        <w:rPr>
          <w:sz w:val="22"/>
          <w:lang w:bidi="it-IT"/>
        </w:rPr>
        <w:t xml:space="preserve"> alla più bassa dose efficace. </w:t>
      </w:r>
      <w:r w:rsidR="00785DC1">
        <w:rPr>
          <w:sz w:val="22"/>
          <w:lang w:bidi="it-IT"/>
        </w:rPr>
        <w:t>In caso</w:t>
      </w:r>
      <w:r w:rsidRPr="008543EB">
        <w:rPr>
          <w:sz w:val="22"/>
          <w:lang w:bidi="it-IT"/>
        </w:rPr>
        <w:t xml:space="preserve"> si </w:t>
      </w:r>
      <w:r w:rsidR="000C1F49">
        <w:rPr>
          <w:sz w:val="22"/>
          <w:lang w:bidi="it-IT"/>
        </w:rPr>
        <w:t>manifest</w:t>
      </w:r>
      <w:r w:rsidR="00785DC1">
        <w:rPr>
          <w:sz w:val="22"/>
          <w:lang w:bidi="it-IT"/>
        </w:rPr>
        <w:t>i</w:t>
      </w:r>
      <w:r w:rsidR="000C1F49" w:rsidRPr="008543EB">
        <w:rPr>
          <w:sz w:val="22"/>
          <w:lang w:bidi="it-IT"/>
        </w:rPr>
        <w:t xml:space="preserve"> </w:t>
      </w:r>
      <w:r w:rsidR="000C1F49">
        <w:rPr>
          <w:sz w:val="22"/>
          <w:lang w:bidi="it-IT"/>
        </w:rPr>
        <w:t>depressione</w:t>
      </w:r>
      <w:r w:rsidRPr="008543EB">
        <w:rPr>
          <w:sz w:val="22"/>
          <w:lang w:bidi="it-IT"/>
        </w:rPr>
        <w:t xml:space="preserve"> respiratoria, </w:t>
      </w:r>
      <w:r w:rsidR="00EA266D">
        <w:rPr>
          <w:sz w:val="22"/>
          <w:lang w:bidi="it-IT"/>
        </w:rPr>
        <w:t>questa</w:t>
      </w:r>
      <w:r w:rsidR="00EA266D" w:rsidRPr="008543EB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deve essere trattata come </w:t>
      </w:r>
      <w:r w:rsidR="000C1F49">
        <w:rPr>
          <w:sz w:val="22"/>
          <w:lang w:bidi="it-IT"/>
        </w:rPr>
        <w:t xml:space="preserve">una </w:t>
      </w:r>
      <w:r w:rsidRPr="008543EB">
        <w:rPr>
          <w:sz w:val="22"/>
          <w:lang w:bidi="it-IT"/>
        </w:rPr>
        <w:t xml:space="preserve">qualsiasi </w:t>
      </w:r>
      <w:r w:rsidR="000C1F49">
        <w:rPr>
          <w:sz w:val="22"/>
          <w:lang w:bidi="it-IT"/>
        </w:rPr>
        <w:t>depressione</w:t>
      </w:r>
      <w:r w:rsidRPr="008543EB">
        <w:rPr>
          <w:sz w:val="22"/>
          <w:lang w:bidi="it-IT"/>
        </w:rPr>
        <w:t xml:space="preserve"> respiratoria indotta da agonisti dei recettori mu-oppioidi (</w:t>
      </w:r>
      <w:r w:rsidR="00516634">
        <w:rPr>
          <w:sz w:val="22"/>
          <w:lang w:bidi="it-IT"/>
        </w:rPr>
        <w:t>vedere</w:t>
      </w:r>
      <w:r w:rsidRPr="008543EB">
        <w:rPr>
          <w:sz w:val="22"/>
          <w:lang w:bidi="it-IT"/>
        </w:rPr>
        <w:t xml:space="preserve"> paragrafo 4.9). </w:t>
      </w:r>
    </w:p>
    <w:p w14:paraId="0D4C7FFA" w14:textId="77777777" w:rsidR="002B3A07" w:rsidRPr="00721B44" w:rsidRDefault="002B3A07" w:rsidP="00C733B3">
      <w:pPr>
        <w:pStyle w:val="Default"/>
        <w:rPr>
          <w:sz w:val="22"/>
        </w:rPr>
      </w:pPr>
    </w:p>
    <w:p w14:paraId="52CD24BB" w14:textId="2E0B3CA4" w:rsidR="008543EB" w:rsidRPr="00721B44" w:rsidRDefault="008543EB" w:rsidP="00C733B3">
      <w:pPr>
        <w:pStyle w:val="Default"/>
        <w:rPr>
          <w:sz w:val="22"/>
        </w:rPr>
      </w:pPr>
      <w:r w:rsidRPr="008543EB">
        <w:rPr>
          <w:i/>
          <w:sz w:val="22"/>
          <w:lang w:bidi="it-IT"/>
        </w:rPr>
        <w:t xml:space="preserve">Lesioni craniche e pressione intracranica </w:t>
      </w:r>
      <w:r w:rsidR="00C64DE4" w:rsidRPr="008543EB">
        <w:rPr>
          <w:i/>
          <w:sz w:val="22"/>
          <w:lang w:bidi="it-IT"/>
        </w:rPr>
        <w:t>aument</w:t>
      </w:r>
      <w:r w:rsidR="00C64DE4">
        <w:rPr>
          <w:i/>
          <w:sz w:val="22"/>
          <w:lang w:bidi="it-IT"/>
        </w:rPr>
        <w:t>at</w:t>
      </w:r>
      <w:r w:rsidR="00C64DE4" w:rsidRPr="008543EB">
        <w:rPr>
          <w:i/>
          <w:sz w:val="22"/>
          <w:lang w:bidi="it-IT"/>
        </w:rPr>
        <w:t>a</w:t>
      </w:r>
    </w:p>
    <w:p w14:paraId="23070396" w14:textId="635BE8C2" w:rsidR="008543EB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>non va usato n</w:t>
      </w:r>
      <w:r w:rsidR="00093ACF">
        <w:rPr>
          <w:sz w:val="22"/>
          <w:lang w:bidi="it-IT"/>
        </w:rPr>
        <w:t>ei</w:t>
      </w:r>
      <w:r w:rsidR="00F8599A">
        <w:rPr>
          <w:sz w:val="22"/>
          <w:lang w:bidi="it-IT"/>
        </w:rPr>
        <w:t xml:space="preserve"> pazienti che possono essere particolarmente sensibili agli effetti intracranici dell</w:t>
      </w:r>
      <w:r w:rsidR="006E7DD7">
        <w:rPr>
          <w:sz w:val="22"/>
          <w:lang w:bidi="it-IT"/>
        </w:rPr>
        <w:t>’accumulo</w:t>
      </w:r>
      <w:r w:rsidR="00F8599A">
        <w:rPr>
          <w:sz w:val="22"/>
          <w:lang w:bidi="it-IT"/>
        </w:rPr>
        <w:t xml:space="preserve"> d</w:t>
      </w:r>
      <w:r w:rsidR="006E7DD7">
        <w:rPr>
          <w:sz w:val="22"/>
          <w:lang w:bidi="it-IT"/>
        </w:rPr>
        <w:t>el biossido di</w:t>
      </w:r>
      <w:r w:rsidR="00F8599A">
        <w:rPr>
          <w:sz w:val="22"/>
          <w:lang w:bidi="it-IT"/>
        </w:rPr>
        <w:t xml:space="preserve"> carboni</w:t>
      </w:r>
      <w:r w:rsidR="006E7DD7">
        <w:rPr>
          <w:sz w:val="22"/>
          <w:lang w:bidi="it-IT"/>
        </w:rPr>
        <w:t>o</w:t>
      </w:r>
      <w:r w:rsidR="00F8599A">
        <w:rPr>
          <w:sz w:val="22"/>
          <w:lang w:bidi="it-IT"/>
        </w:rPr>
        <w:t>, come</w:t>
      </w:r>
      <w:r w:rsidR="006E7DD7">
        <w:rPr>
          <w:sz w:val="22"/>
          <w:lang w:bidi="it-IT"/>
        </w:rPr>
        <w:t xml:space="preserve"> ad esempio</w:t>
      </w:r>
      <w:r w:rsidR="00F8599A">
        <w:rPr>
          <w:sz w:val="22"/>
          <w:lang w:bidi="it-IT"/>
        </w:rPr>
        <w:t xml:space="preserve"> </w:t>
      </w:r>
      <w:r w:rsidR="006E7DD7">
        <w:rPr>
          <w:sz w:val="22"/>
          <w:lang w:bidi="it-IT"/>
        </w:rPr>
        <w:t>coloro i quali presentano evidenze di</w:t>
      </w:r>
      <w:r w:rsidR="00F8599A">
        <w:rPr>
          <w:sz w:val="22"/>
          <w:lang w:bidi="it-IT"/>
        </w:rPr>
        <w:t xml:space="preserve"> aumento della pressione intracranica, alterazion</w:t>
      </w:r>
      <w:r w:rsidR="006E7DD7">
        <w:rPr>
          <w:sz w:val="22"/>
          <w:lang w:bidi="it-IT"/>
        </w:rPr>
        <w:t>i</w:t>
      </w:r>
      <w:r w:rsidR="00F8599A">
        <w:rPr>
          <w:sz w:val="22"/>
          <w:lang w:bidi="it-IT"/>
        </w:rPr>
        <w:t xml:space="preserve"> dello stato di coscienza o coma. Gli analgesici con attività agonista sui recettori mu-oppioidi possono mascherare il decorso clinico dei pazienti con lesioni craniche. </w:t>
      </w: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 xml:space="preserve">deve essere usato con cautela nei pazienti con lesioni craniche e tumori cerebrali. </w:t>
      </w:r>
    </w:p>
    <w:p w14:paraId="4F5D2AFC" w14:textId="77777777" w:rsidR="002B3A07" w:rsidRPr="00721B44" w:rsidRDefault="002B3A07" w:rsidP="00C733B3">
      <w:pPr>
        <w:pStyle w:val="Default"/>
        <w:rPr>
          <w:sz w:val="22"/>
        </w:rPr>
      </w:pPr>
    </w:p>
    <w:p w14:paraId="5F214950" w14:textId="77777777" w:rsidR="008543EB" w:rsidRPr="00721B44" w:rsidRDefault="008543EB" w:rsidP="00C733B3">
      <w:pPr>
        <w:pStyle w:val="Default"/>
        <w:rPr>
          <w:sz w:val="22"/>
        </w:rPr>
      </w:pPr>
      <w:r w:rsidRPr="008543EB">
        <w:rPr>
          <w:i/>
          <w:sz w:val="22"/>
          <w:lang w:bidi="it-IT"/>
        </w:rPr>
        <w:t xml:space="preserve">Convulsioni </w:t>
      </w:r>
    </w:p>
    <w:p w14:paraId="1B066844" w14:textId="773B68A7" w:rsidR="008543EB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>non è stato</w:t>
      </w:r>
      <w:r w:rsidR="00715409">
        <w:rPr>
          <w:sz w:val="22"/>
          <w:lang w:bidi="it-IT"/>
        </w:rPr>
        <w:t xml:space="preserve"> sottoposto a una valutazione</w:t>
      </w:r>
      <w:r w:rsidR="00F8599A">
        <w:rPr>
          <w:sz w:val="22"/>
          <w:lang w:bidi="it-IT"/>
        </w:rPr>
        <w:t xml:space="preserve"> sistematica nei pazienti</w:t>
      </w:r>
      <w:r w:rsidR="00715409">
        <w:rPr>
          <w:sz w:val="22"/>
          <w:lang w:bidi="it-IT"/>
        </w:rPr>
        <w:t xml:space="preserve"> soggetti a convulsioni</w:t>
      </w:r>
      <w:r w:rsidR="00F8599A">
        <w:rPr>
          <w:sz w:val="22"/>
          <w:lang w:bidi="it-IT"/>
        </w:rPr>
        <w:t xml:space="preserve">, </w:t>
      </w:r>
      <w:r w:rsidR="00715409">
        <w:rPr>
          <w:sz w:val="22"/>
          <w:lang w:bidi="it-IT"/>
        </w:rPr>
        <w:t xml:space="preserve">e </w:t>
      </w:r>
      <w:r w:rsidR="00F8599A">
        <w:rPr>
          <w:sz w:val="22"/>
          <w:lang w:bidi="it-IT"/>
        </w:rPr>
        <w:t>tali pazienti sono stati esclusi dagli studi clinici. Tuttavia, come altri analgesici con attività agonista sui recettori mu-oppioidi</w:t>
      </w:r>
      <w:r w:rsidR="00715409">
        <w:rPr>
          <w:sz w:val="22"/>
          <w:lang w:bidi="it-IT"/>
        </w:rPr>
        <w:t>,</w:t>
      </w:r>
      <w:r w:rsidR="00F8599A">
        <w:rPr>
          <w:sz w:val="22"/>
          <w:lang w:bidi="it-IT"/>
        </w:rPr>
        <w:t xml:space="preserve"> </w:t>
      </w: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 xml:space="preserve">deve essere prescritto con cautela nei pazienti con un'anamnesi di convulsioni o qualsiasi condizione medica correlata a un aumentato rischio di convulsioni. Inoltre, il </w:t>
      </w:r>
      <w:proofErr w:type="spellStart"/>
      <w:r w:rsidR="00F8599A">
        <w:rPr>
          <w:sz w:val="22"/>
          <w:lang w:bidi="it-IT"/>
        </w:rPr>
        <w:t>tapentadolo</w:t>
      </w:r>
      <w:proofErr w:type="spellEnd"/>
      <w:r w:rsidR="00F8599A">
        <w:rPr>
          <w:sz w:val="22"/>
          <w:lang w:bidi="it-IT"/>
        </w:rPr>
        <w:t xml:space="preserve"> può aumentare il rischio di convulsioni n</w:t>
      </w:r>
      <w:r w:rsidR="00FA2C9C">
        <w:rPr>
          <w:sz w:val="22"/>
          <w:lang w:bidi="it-IT"/>
        </w:rPr>
        <w:t>ei</w:t>
      </w:r>
      <w:r w:rsidR="00F8599A">
        <w:rPr>
          <w:sz w:val="22"/>
          <w:lang w:bidi="it-IT"/>
        </w:rPr>
        <w:t xml:space="preserve"> pazienti che assumono altri farmaci che diminuiscono la soglia convulsiva (</w:t>
      </w:r>
      <w:r w:rsidR="00516634">
        <w:rPr>
          <w:sz w:val="22"/>
          <w:lang w:bidi="it-IT"/>
        </w:rPr>
        <w:t>vedere</w:t>
      </w:r>
      <w:r w:rsidR="00F8599A">
        <w:rPr>
          <w:sz w:val="22"/>
          <w:lang w:bidi="it-IT"/>
        </w:rPr>
        <w:t xml:space="preserve"> paragrafo 4.5).</w:t>
      </w:r>
    </w:p>
    <w:p w14:paraId="6F9577E2" w14:textId="77777777" w:rsidR="002B3A07" w:rsidRPr="00721B44" w:rsidRDefault="002B3A07" w:rsidP="00C733B3">
      <w:pPr>
        <w:pStyle w:val="Default"/>
        <w:rPr>
          <w:sz w:val="22"/>
        </w:rPr>
      </w:pPr>
    </w:p>
    <w:p w14:paraId="5FDAC940" w14:textId="4AB82350" w:rsidR="008543EB" w:rsidRPr="00721B44" w:rsidRDefault="00AE2275" w:rsidP="00C733B3">
      <w:pPr>
        <w:pStyle w:val="Default"/>
        <w:rPr>
          <w:sz w:val="22"/>
        </w:rPr>
      </w:pPr>
      <w:r>
        <w:rPr>
          <w:i/>
          <w:sz w:val="22"/>
          <w:lang w:bidi="it-IT"/>
        </w:rPr>
        <w:t>Compromissione</w:t>
      </w:r>
      <w:r w:rsidR="008543EB" w:rsidRPr="000F748D">
        <w:rPr>
          <w:i/>
          <w:sz w:val="22"/>
          <w:lang w:bidi="it-IT"/>
        </w:rPr>
        <w:t xml:space="preserve"> re</w:t>
      </w:r>
      <w:r w:rsidR="008543EB" w:rsidRPr="00AE2275">
        <w:rPr>
          <w:i/>
          <w:sz w:val="22"/>
          <w:lang w:bidi="it-IT"/>
        </w:rPr>
        <w:t xml:space="preserve">nale </w:t>
      </w:r>
    </w:p>
    <w:p w14:paraId="67678034" w14:textId="48AE340D" w:rsidR="008543EB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F8599A" w:rsidRPr="008C41F9">
        <w:rPr>
          <w:sz w:val="22"/>
          <w:lang w:bidi="it-IT"/>
        </w:rPr>
        <w:t xml:space="preserve">non è stato </w:t>
      </w:r>
      <w:r w:rsidR="00DF1CA0">
        <w:rPr>
          <w:sz w:val="22"/>
          <w:lang w:bidi="it-IT"/>
        </w:rPr>
        <w:t>studi</w:t>
      </w:r>
      <w:r w:rsidR="00F8599A" w:rsidRPr="008C41F9">
        <w:rPr>
          <w:sz w:val="22"/>
          <w:lang w:bidi="it-IT"/>
        </w:rPr>
        <w:t xml:space="preserve">ato in studi di efficacia controllati in pazienti con </w:t>
      </w:r>
      <w:r w:rsidR="008C41F9">
        <w:rPr>
          <w:sz w:val="22"/>
          <w:lang w:bidi="it-IT"/>
        </w:rPr>
        <w:t xml:space="preserve">grave compromissione </w:t>
      </w:r>
      <w:r w:rsidR="00F8599A" w:rsidRPr="008C41F9">
        <w:rPr>
          <w:sz w:val="22"/>
          <w:lang w:bidi="it-IT"/>
        </w:rPr>
        <w:t>renale, pertanto l'uso in questa popolazione non è raccomandato (</w:t>
      </w:r>
      <w:r w:rsidR="00516634">
        <w:rPr>
          <w:sz w:val="22"/>
          <w:lang w:bidi="it-IT"/>
        </w:rPr>
        <w:t>vedere</w:t>
      </w:r>
      <w:r w:rsidR="00F8599A" w:rsidRPr="008C41F9">
        <w:rPr>
          <w:sz w:val="22"/>
          <w:lang w:bidi="it-IT"/>
        </w:rPr>
        <w:t xml:space="preserve"> paragrafi 4.2 e 5.2). </w:t>
      </w:r>
    </w:p>
    <w:p w14:paraId="2AE75E16" w14:textId="77777777" w:rsidR="002B3A07" w:rsidRPr="00721B44" w:rsidRDefault="002B3A07" w:rsidP="00C733B3">
      <w:pPr>
        <w:pStyle w:val="Default"/>
        <w:rPr>
          <w:sz w:val="22"/>
        </w:rPr>
      </w:pPr>
    </w:p>
    <w:p w14:paraId="08AE3092" w14:textId="6F5951C8" w:rsidR="008543EB" w:rsidRPr="00721B44" w:rsidRDefault="00AE2275" w:rsidP="00C733B3">
      <w:pPr>
        <w:pStyle w:val="Default"/>
        <w:rPr>
          <w:sz w:val="22"/>
        </w:rPr>
      </w:pPr>
      <w:r>
        <w:rPr>
          <w:i/>
          <w:sz w:val="22"/>
          <w:lang w:bidi="it-IT"/>
        </w:rPr>
        <w:t>Compromissione</w:t>
      </w:r>
      <w:r w:rsidR="008543EB" w:rsidRPr="00AE2275">
        <w:rPr>
          <w:i/>
          <w:sz w:val="22"/>
          <w:lang w:bidi="it-IT"/>
        </w:rPr>
        <w:t xml:space="preserve"> epatica</w:t>
      </w:r>
      <w:r w:rsidR="008543EB" w:rsidRPr="008543EB">
        <w:rPr>
          <w:i/>
          <w:sz w:val="22"/>
          <w:lang w:bidi="it-IT"/>
        </w:rPr>
        <w:t xml:space="preserve"> </w:t>
      </w:r>
    </w:p>
    <w:p w14:paraId="1D8A172D" w14:textId="73E735B9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I soggetti con </w:t>
      </w:r>
      <w:r w:rsidR="007C6207">
        <w:rPr>
          <w:sz w:val="22"/>
          <w:lang w:bidi="it-IT"/>
        </w:rPr>
        <w:t>compromissione</w:t>
      </w:r>
      <w:r w:rsidRPr="008543EB">
        <w:rPr>
          <w:sz w:val="22"/>
          <w:lang w:bidi="it-IT"/>
        </w:rPr>
        <w:t xml:space="preserve"> </w:t>
      </w:r>
      <w:r w:rsidR="007C6207" w:rsidRPr="008543EB">
        <w:rPr>
          <w:sz w:val="22"/>
          <w:lang w:bidi="it-IT"/>
        </w:rPr>
        <w:t xml:space="preserve">epatica </w:t>
      </w:r>
      <w:r w:rsidRPr="008543EB">
        <w:rPr>
          <w:sz w:val="22"/>
          <w:lang w:bidi="it-IT"/>
        </w:rPr>
        <w:t xml:space="preserve">lieve e moderata hanno mostrato rispettivamente un aumento di 2 volte e 4,5 volte dell'esposizione sistemica, rispetto ai soggetti con funzionalità epatica </w:t>
      </w:r>
      <w:r w:rsidR="007C6207">
        <w:rPr>
          <w:sz w:val="22"/>
          <w:lang w:bidi="it-IT"/>
        </w:rPr>
        <w:t>normale</w:t>
      </w:r>
      <w:r w:rsidRPr="008543EB">
        <w:rPr>
          <w:sz w:val="22"/>
          <w:lang w:bidi="it-IT"/>
        </w:rPr>
        <w:t xml:space="preserve">.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deve essere somministrato con cautela nei pazienti con </w:t>
      </w:r>
      <w:r w:rsidR="007C1B89">
        <w:rPr>
          <w:sz w:val="22"/>
          <w:lang w:bidi="it-IT"/>
        </w:rPr>
        <w:t>compromissione</w:t>
      </w:r>
      <w:r w:rsidR="007C1B89" w:rsidRPr="008543EB">
        <w:rPr>
          <w:sz w:val="22"/>
          <w:lang w:bidi="it-IT"/>
        </w:rPr>
        <w:t xml:space="preserve"> epatica </w:t>
      </w:r>
      <w:r w:rsidRPr="008543EB">
        <w:rPr>
          <w:sz w:val="22"/>
          <w:lang w:bidi="it-IT"/>
        </w:rPr>
        <w:t>moderata (</w:t>
      </w:r>
      <w:r w:rsidR="00516634">
        <w:rPr>
          <w:sz w:val="22"/>
          <w:lang w:bidi="it-IT"/>
        </w:rPr>
        <w:t>vedere</w:t>
      </w:r>
      <w:r w:rsidRPr="008543EB">
        <w:rPr>
          <w:sz w:val="22"/>
          <w:lang w:bidi="it-IT"/>
        </w:rPr>
        <w:t xml:space="preserve"> paragrafi 4.2 e 5.2), specialmente all'inizio del trattamento. </w:t>
      </w:r>
    </w:p>
    <w:p w14:paraId="55A7CD6C" w14:textId="008157ED" w:rsidR="008543EB" w:rsidRPr="00721B44" w:rsidRDefault="00931244" w:rsidP="00C733B3">
      <w:pPr>
        <w:pStyle w:val="Default"/>
        <w:tabs>
          <w:tab w:val="left" w:pos="1560"/>
        </w:tabs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>non è stato</w:t>
      </w:r>
      <w:r w:rsidR="007C1B89">
        <w:rPr>
          <w:sz w:val="22"/>
          <w:lang w:bidi="it-IT"/>
        </w:rPr>
        <w:t xml:space="preserve"> studia</w:t>
      </w:r>
      <w:r w:rsidR="00F8599A">
        <w:rPr>
          <w:sz w:val="22"/>
          <w:lang w:bidi="it-IT"/>
        </w:rPr>
        <w:t xml:space="preserve">to in pazienti con </w:t>
      </w:r>
      <w:r w:rsidR="007C1B89">
        <w:rPr>
          <w:sz w:val="22"/>
          <w:lang w:bidi="it-IT"/>
        </w:rPr>
        <w:t xml:space="preserve">compromissione epatica </w:t>
      </w:r>
      <w:r w:rsidR="00F8599A">
        <w:rPr>
          <w:sz w:val="22"/>
          <w:lang w:bidi="it-IT"/>
        </w:rPr>
        <w:t>severa, pertanto l'uso in questa popolazione non è raccomandato (</w:t>
      </w:r>
      <w:r w:rsidR="00516634">
        <w:rPr>
          <w:sz w:val="22"/>
          <w:lang w:bidi="it-IT"/>
        </w:rPr>
        <w:t>vedere</w:t>
      </w:r>
      <w:r w:rsidR="00F8599A">
        <w:rPr>
          <w:sz w:val="22"/>
          <w:lang w:bidi="it-IT"/>
        </w:rPr>
        <w:t xml:space="preserve"> paragrafi 4.2 e 5.2). </w:t>
      </w:r>
    </w:p>
    <w:p w14:paraId="75C830DF" w14:textId="77777777" w:rsidR="002B3A07" w:rsidRPr="00721B44" w:rsidRDefault="002B3A07" w:rsidP="00C733B3">
      <w:pPr>
        <w:pStyle w:val="Default"/>
        <w:rPr>
          <w:sz w:val="22"/>
        </w:rPr>
      </w:pPr>
    </w:p>
    <w:p w14:paraId="21808B4B" w14:textId="77777777" w:rsidR="008543EB" w:rsidRPr="00721B44" w:rsidRDefault="008543EB" w:rsidP="00C733B3">
      <w:pPr>
        <w:pStyle w:val="Default"/>
        <w:rPr>
          <w:sz w:val="22"/>
        </w:rPr>
      </w:pPr>
      <w:r w:rsidRPr="008543EB">
        <w:rPr>
          <w:i/>
          <w:sz w:val="22"/>
          <w:lang w:bidi="it-IT"/>
        </w:rPr>
        <w:t xml:space="preserve">Impiego nelle malattie del pancreas e delle vie biliari </w:t>
      </w:r>
    </w:p>
    <w:p w14:paraId="5B6C74AA" w14:textId="3FD3A11B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I principi attivi con attività agonista sui recettori mu-oppioidi possono causare spasmo dello sfintere di Oddi.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deve essere usato con cautela in pazienti con disturbi delle vie biliari, inclusa la pancreatite acuta. </w:t>
      </w:r>
    </w:p>
    <w:p w14:paraId="7052AE1D" w14:textId="1DC57524" w:rsidR="002B3A07" w:rsidRPr="00721B44" w:rsidRDefault="002B3A07" w:rsidP="00C733B3">
      <w:pPr>
        <w:pStyle w:val="Default"/>
        <w:rPr>
          <w:sz w:val="22"/>
        </w:rPr>
      </w:pPr>
    </w:p>
    <w:p w14:paraId="4E77C6BD" w14:textId="77777777" w:rsidR="00170EB7" w:rsidRPr="00721B44" w:rsidRDefault="00170EB7" w:rsidP="00C733B3">
      <w:pPr>
        <w:pStyle w:val="Default"/>
        <w:rPr>
          <w:i/>
          <w:sz w:val="22"/>
        </w:rPr>
      </w:pPr>
      <w:r w:rsidRPr="00B63601">
        <w:rPr>
          <w:i/>
          <w:sz w:val="22"/>
          <w:lang w:bidi="it-IT"/>
        </w:rPr>
        <w:t xml:space="preserve">Disturbi della respirazione correlati al sonno </w:t>
      </w:r>
    </w:p>
    <w:p w14:paraId="58683716" w14:textId="3C934557" w:rsidR="00170EB7" w:rsidRPr="00721B44" w:rsidRDefault="00170EB7" w:rsidP="00C733B3">
      <w:pPr>
        <w:pStyle w:val="Default"/>
        <w:rPr>
          <w:sz w:val="22"/>
        </w:rPr>
      </w:pPr>
      <w:r w:rsidRPr="00170EB7">
        <w:rPr>
          <w:sz w:val="22"/>
          <w:lang w:bidi="it-IT"/>
        </w:rPr>
        <w:t>Gli oppioidi possono causare disturbi della respirazione correlati al sonno, compresa l'apnea centrale</w:t>
      </w:r>
      <w:r w:rsidR="00B1724D">
        <w:rPr>
          <w:sz w:val="22"/>
          <w:lang w:bidi="it-IT"/>
        </w:rPr>
        <w:t xml:space="preserve"> nel sonno (CSA) e l’</w:t>
      </w:r>
      <w:r w:rsidRPr="00170EB7">
        <w:rPr>
          <w:sz w:val="22"/>
          <w:lang w:bidi="it-IT"/>
        </w:rPr>
        <w:t xml:space="preserve">ipossiemia correlata al sonno. L'uso di oppioidi aumenta il rischio di CSA in </w:t>
      </w:r>
      <w:r w:rsidR="008F2BBD">
        <w:rPr>
          <w:sz w:val="22"/>
          <w:lang w:bidi="it-IT"/>
        </w:rPr>
        <w:t>modo</w:t>
      </w:r>
      <w:r w:rsidRPr="00170EB7">
        <w:rPr>
          <w:sz w:val="22"/>
          <w:lang w:bidi="it-IT"/>
        </w:rPr>
        <w:t xml:space="preserve"> dose</w:t>
      </w:r>
      <w:r w:rsidR="008F2BBD">
        <w:rPr>
          <w:sz w:val="22"/>
          <w:lang w:bidi="it-IT"/>
        </w:rPr>
        <w:t>-dipendente</w:t>
      </w:r>
      <w:r w:rsidRPr="00170EB7">
        <w:rPr>
          <w:sz w:val="22"/>
          <w:lang w:bidi="it-IT"/>
        </w:rPr>
        <w:t xml:space="preserve">. Nei pazienti che presentano CSA, </w:t>
      </w:r>
      <w:r w:rsidR="005103BA">
        <w:rPr>
          <w:sz w:val="22"/>
          <w:lang w:bidi="it-IT"/>
        </w:rPr>
        <w:t xml:space="preserve">prendere in </w:t>
      </w:r>
      <w:r w:rsidRPr="00170EB7">
        <w:rPr>
          <w:sz w:val="22"/>
          <w:lang w:bidi="it-IT"/>
        </w:rPr>
        <w:t>considera</w:t>
      </w:r>
      <w:r w:rsidR="005103BA">
        <w:rPr>
          <w:sz w:val="22"/>
          <w:lang w:bidi="it-IT"/>
        </w:rPr>
        <w:t>zione</w:t>
      </w:r>
      <w:r w:rsidRPr="00170EB7">
        <w:rPr>
          <w:sz w:val="22"/>
          <w:lang w:bidi="it-IT"/>
        </w:rPr>
        <w:t xml:space="preserve"> </w:t>
      </w:r>
      <w:r w:rsidR="007F5253">
        <w:rPr>
          <w:sz w:val="22"/>
          <w:lang w:bidi="it-IT"/>
        </w:rPr>
        <w:t>la riduzione</w:t>
      </w:r>
      <w:r w:rsidRPr="00170EB7">
        <w:rPr>
          <w:sz w:val="22"/>
          <w:lang w:bidi="it-IT"/>
        </w:rPr>
        <w:t xml:space="preserve"> </w:t>
      </w:r>
      <w:r w:rsidR="007F5253">
        <w:rPr>
          <w:sz w:val="22"/>
          <w:lang w:bidi="it-IT"/>
        </w:rPr>
        <w:t>del</w:t>
      </w:r>
      <w:r w:rsidRPr="00170EB7">
        <w:rPr>
          <w:sz w:val="22"/>
          <w:lang w:bidi="it-IT"/>
        </w:rPr>
        <w:t xml:space="preserve"> dosaggio </w:t>
      </w:r>
      <w:r w:rsidR="007F5253">
        <w:rPr>
          <w:sz w:val="22"/>
          <w:lang w:bidi="it-IT"/>
        </w:rPr>
        <w:t>totale</w:t>
      </w:r>
      <w:r w:rsidR="007F5253" w:rsidRPr="00170EB7">
        <w:rPr>
          <w:sz w:val="22"/>
          <w:lang w:bidi="it-IT"/>
        </w:rPr>
        <w:t xml:space="preserve"> </w:t>
      </w:r>
      <w:r w:rsidRPr="00170EB7">
        <w:rPr>
          <w:sz w:val="22"/>
          <w:lang w:bidi="it-IT"/>
        </w:rPr>
        <w:t>di oppioidi.</w:t>
      </w:r>
    </w:p>
    <w:p w14:paraId="31162388" w14:textId="77777777" w:rsidR="00170EB7" w:rsidRPr="00721B44" w:rsidRDefault="00170EB7" w:rsidP="00C733B3">
      <w:pPr>
        <w:pStyle w:val="Default"/>
        <w:rPr>
          <w:sz w:val="22"/>
        </w:rPr>
      </w:pPr>
    </w:p>
    <w:p w14:paraId="2A06E2A8" w14:textId="77777777" w:rsidR="00170EB7" w:rsidRPr="00721B44" w:rsidRDefault="00170EB7" w:rsidP="00C733B3">
      <w:pPr>
        <w:pStyle w:val="Default"/>
        <w:rPr>
          <w:i/>
          <w:sz w:val="22"/>
        </w:rPr>
      </w:pPr>
      <w:r w:rsidRPr="00B63601">
        <w:rPr>
          <w:i/>
          <w:sz w:val="22"/>
          <w:lang w:bidi="it-IT"/>
        </w:rPr>
        <w:t xml:space="preserve">Agonisti/antagonisti misti degli oppioidi </w:t>
      </w:r>
    </w:p>
    <w:p w14:paraId="3B2B9A27" w14:textId="12355B99" w:rsidR="00170EB7" w:rsidRPr="00721B44" w:rsidRDefault="00170EB7" w:rsidP="00C733B3">
      <w:pPr>
        <w:pStyle w:val="Default"/>
        <w:rPr>
          <w:sz w:val="22"/>
        </w:rPr>
      </w:pPr>
      <w:r w:rsidRPr="00170EB7">
        <w:rPr>
          <w:sz w:val="22"/>
          <w:lang w:bidi="it-IT"/>
        </w:rPr>
        <w:t xml:space="preserve">Si deve fare attenzione quando si combina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170EB7">
        <w:rPr>
          <w:sz w:val="22"/>
          <w:lang w:bidi="it-IT"/>
        </w:rPr>
        <w:t xml:space="preserve">con agonisti/antagonisti misti dei mu-oppioidi (come </w:t>
      </w:r>
      <w:proofErr w:type="spellStart"/>
      <w:r w:rsidRPr="00170EB7">
        <w:rPr>
          <w:sz w:val="22"/>
          <w:lang w:bidi="it-IT"/>
        </w:rPr>
        <w:t>pentazocina</w:t>
      </w:r>
      <w:proofErr w:type="spellEnd"/>
      <w:r w:rsidRPr="00170EB7">
        <w:rPr>
          <w:sz w:val="22"/>
          <w:lang w:bidi="it-IT"/>
        </w:rPr>
        <w:t xml:space="preserve">, </w:t>
      </w:r>
      <w:proofErr w:type="spellStart"/>
      <w:r w:rsidRPr="00170EB7">
        <w:rPr>
          <w:sz w:val="22"/>
          <w:lang w:bidi="it-IT"/>
        </w:rPr>
        <w:t>nalbufina</w:t>
      </w:r>
      <w:proofErr w:type="spellEnd"/>
      <w:r w:rsidRPr="00170EB7">
        <w:rPr>
          <w:sz w:val="22"/>
          <w:lang w:bidi="it-IT"/>
        </w:rPr>
        <w:t xml:space="preserve">) o agonisti parziali dei mu-oppioidi (come buprenorfina). Nei pazienti </w:t>
      </w:r>
      <w:r w:rsidR="007664E0">
        <w:rPr>
          <w:sz w:val="22"/>
          <w:lang w:bidi="it-IT"/>
        </w:rPr>
        <w:t>trattati con</w:t>
      </w:r>
      <w:r w:rsidRPr="00170EB7">
        <w:rPr>
          <w:sz w:val="22"/>
          <w:lang w:bidi="it-IT"/>
        </w:rPr>
        <w:t xml:space="preserve"> buprenorfina per il trattamento della dipendenza da oppioidi, </w:t>
      </w:r>
      <w:r w:rsidR="0045661B">
        <w:rPr>
          <w:sz w:val="22"/>
          <w:lang w:bidi="it-IT"/>
        </w:rPr>
        <w:t>occorre prendere</w:t>
      </w:r>
      <w:r w:rsidRPr="00170EB7">
        <w:rPr>
          <w:sz w:val="22"/>
          <w:lang w:bidi="it-IT"/>
        </w:rPr>
        <w:t xml:space="preserve"> in </w:t>
      </w:r>
      <w:r w:rsidRPr="00170EB7">
        <w:rPr>
          <w:sz w:val="22"/>
          <w:lang w:bidi="it-IT"/>
        </w:rPr>
        <w:lastRenderedPageBreak/>
        <w:t xml:space="preserve">considerazione opzioni di trattamento alternative (come ad esempio la sospensione temporanea della buprenorfina), </w:t>
      </w:r>
      <w:r w:rsidR="00974082">
        <w:rPr>
          <w:sz w:val="22"/>
          <w:lang w:bidi="it-IT"/>
        </w:rPr>
        <w:t>nel caso in cui</w:t>
      </w:r>
      <w:r w:rsidR="00974082" w:rsidRPr="00170EB7">
        <w:rPr>
          <w:sz w:val="22"/>
          <w:lang w:bidi="it-IT"/>
        </w:rPr>
        <w:t xml:space="preserve"> </w:t>
      </w:r>
      <w:r w:rsidRPr="00170EB7">
        <w:rPr>
          <w:sz w:val="22"/>
          <w:lang w:bidi="it-IT"/>
        </w:rPr>
        <w:t xml:space="preserve">la somministrazione di agonisti completi dei recettori mu (come il </w:t>
      </w:r>
      <w:proofErr w:type="spellStart"/>
      <w:r w:rsidRPr="00170EB7">
        <w:rPr>
          <w:sz w:val="22"/>
          <w:lang w:bidi="it-IT"/>
        </w:rPr>
        <w:t>tapentadolo</w:t>
      </w:r>
      <w:proofErr w:type="spellEnd"/>
      <w:r w:rsidRPr="00170EB7">
        <w:rPr>
          <w:sz w:val="22"/>
          <w:lang w:bidi="it-IT"/>
        </w:rPr>
        <w:t xml:space="preserve">) </w:t>
      </w:r>
      <w:r w:rsidR="00070140">
        <w:rPr>
          <w:sz w:val="22"/>
          <w:lang w:bidi="it-IT"/>
        </w:rPr>
        <w:t>sia</w:t>
      </w:r>
      <w:r w:rsidRPr="00170EB7">
        <w:rPr>
          <w:sz w:val="22"/>
          <w:lang w:bidi="it-IT"/>
        </w:rPr>
        <w:t xml:space="preserve"> necessaria in </w:t>
      </w:r>
      <w:r w:rsidR="00070140">
        <w:rPr>
          <w:sz w:val="22"/>
          <w:lang w:bidi="it-IT"/>
        </w:rPr>
        <w:t>condiz</w:t>
      </w:r>
      <w:r w:rsidRPr="00170EB7">
        <w:rPr>
          <w:sz w:val="22"/>
          <w:lang w:bidi="it-IT"/>
        </w:rPr>
        <w:t xml:space="preserve">ioni di dolore acuto. </w:t>
      </w:r>
      <w:r w:rsidR="00D264A4">
        <w:rPr>
          <w:sz w:val="22"/>
          <w:lang w:bidi="it-IT"/>
        </w:rPr>
        <w:t xml:space="preserve">Con </w:t>
      </w:r>
      <w:r w:rsidRPr="00170EB7">
        <w:rPr>
          <w:sz w:val="22"/>
          <w:lang w:bidi="it-IT"/>
        </w:rPr>
        <w:t>l'uso combinato con la buprenorfina, sono stat</w:t>
      </w:r>
      <w:r w:rsidR="00D264A4">
        <w:rPr>
          <w:sz w:val="22"/>
          <w:lang w:bidi="it-IT"/>
        </w:rPr>
        <w:t>e</w:t>
      </w:r>
      <w:r w:rsidRPr="00170EB7">
        <w:rPr>
          <w:sz w:val="22"/>
          <w:lang w:bidi="it-IT"/>
        </w:rPr>
        <w:t xml:space="preserve"> </w:t>
      </w:r>
      <w:r w:rsidR="00D264A4">
        <w:rPr>
          <w:sz w:val="22"/>
          <w:lang w:bidi="it-IT"/>
        </w:rPr>
        <w:t>segnalate</w:t>
      </w:r>
      <w:r w:rsidR="00D264A4" w:rsidRPr="00170EB7">
        <w:rPr>
          <w:sz w:val="22"/>
          <w:lang w:bidi="it-IT"/>
        </w:rPr>
        <w:t xml:space="preserve"> </w:t>
      </w:r>
      <w:r w:rsidR="00D264A4">
        <w:rPr>
          <w:sz w:val="22"/>
          <w:lang w:bidi="it-IT"/>
        </w:rPr>
        <w:t>richieste</w:t>
      </w:r>
      <w:r w:rsidRPr="00170EB7">
        <w:rPr>
          <w:sz w:val="22"/>
          <w:lang w:bidi="it-IT"/>
        </w:rPr>
        <w:t xml:space="preserve"> di dos</w:t>
      </w:r>
      <w:r w:rsidR="00D264A4">
        <w:rPr>
          <w:sz w:val="22"/>
          <w:lang w:bidi="it-IT"/>
        </w:rPr>
        <w:t>aggi</w:t>
      </w:r>
      <w:r w:rsidRPr="00170EB7">
        <w:rPr>
          <w:sz w:val="22"/>
          <w:lang w:bidi="it-IT"/>
        </w:rPr>
        <w:t xml:space="preserve"> più elevati per gli agonisti completi dei recettori mu e in tali circostanze è necessario uno stretto monitoraggio degli eventi avversi come l</w:t>
      </w:r>
      <w:r w:rsidR="00D264A4">
        <w:rPr>
          <w:sz w:val="22"/>
          <w:lang w:bidi="it-IT"/>
        </w:rPr>
        <w:t>a depressione</w:t>
      </w:r>
      <w:r w:rsidRPr="00170EB7">
        <w:rPr>
          <w:sz w:val="22"/>
          <w:lang w:bidi="it-IT"/>
        </w:rPr>
        <w:t xml:space="preserve"> respiratoria.</w:t>
      </w:r>
    </w:p>
    <w:p w14:paraId="231C2ED4" w14:textId="77777777" w:rsidR="00170EB7" w:rsidRPr="00721B44" w:rsidRDefault="00170EB7" w:rsidP="00C733B3">
      <w:pPr>
        <w:pStyle w:val="Default"/>
        <w:rPr>
          <w:sz w:val="22"/>
        </w:rPr>
      </w:pPr>
    </w:p>
    <w:p w14:paraId="45E959F5" w14:textId="2407C8DC" w:rsidR="008543EB" w:rsidRPr="00721B44" w:rsidRDefault="008543EB" w:rsidP="00B1724D">
      <w:pPr>
        <w:suppressAutoHyphens/>
        <w:spacing w:after="0" w:line="240" w:lineRule="auto"/>
        <w:ind w:left="567" w:hanging="567"/>
        <w:rPr>
          <w:b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4.5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Interazion</w:t>
      </w:r>
      <w:r w:rsidR="007031DA" w:rsidRPr="00B1724D">
        <w:rPr>
          <w:rFonts w:ascii="Times New Roman" w:eastAsia="Times New Roman" w:hAnsi="Times New Roman" w:cs="Times New Roman"/>
          <w:b/>
          <w:szCs w:val="20"/>
        </w:rPr>
        <w:t>i</w:t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 con altri </w:t>
      </w:r>
      <w:r w:rsidR="002D50D6" w:rsidRPr="00B1724D">
        <w:rPr>
          <w:rFonts w:ascii="Times New Roman" w:eastAsia="Times New Roman" w:hAnsi="Times New Roman" w:cs="Times New Roman"/>
          <w:b/>
          <w:szCs w:val="20"/>
        </w:rPr>
        <w:t>medicinali</w:t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 e</w:t>
      </w:r>
      <w:r w:rsidR="007031DA" w:rsidRPr="00B1724D">
        <w:rPr>
          <w:rFonts w:ascii="Times New Roman" w:eastAsia="Times New Roman" w:hAnsi="Times New Roman" w:cs="Times New Roman"/>
          <w:b/>
          <w:szCs w:val="20"/>
        </w:rPr>
        <w:t>d</w:t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 altre forme </w:t>
      </w:r>
      <w:r w:rsidR="002D50D6" w:rsidRPr="00B1724D">
        <w:rPr>
          <w:rFonts w:ascii="Times New Roman" w:eastAsia="Times New Roman" w:hAnsi="Times New Roman" w:cs="Times New Roman"/>
          <w:b/>
          <w:szCs w:val="20"/>
        </w:rPr>
        <w:t>di interazione</w:t>
      </w:r>
    </w:p>
    <w:p w14:paraId="35F59996" w14:textId="77777777" w:rsidR="009A428A" w:rsidRPr="00721B44" w:rsidRDefault="009A428A" w:rsidP="00C733B3">
      <w:pPr>
        <w:pStyle w:val="Default"/>
        <w:rPr>
          <w:i/>
          <w:sz w:val="22"/>
        </w:rPr>
      </w:pPr>
    </w:p>
    <w:p w14:paraId="436F3F07" w14:textId="77777777" w:rsidR="00BD37F2" w:rsidRPr="00BD37F2" w:rsidRDefault="00BD37F2" w:rsidP="00BD37F2">
      <w:pPr>
        <w:pStyle w:val="Default"/>
        <w:rPr>
          <w:i/>
          <w:sz w:val="22"/>
          <w:lang w:bidi="it-IT"/>
        </w:rPr>
      </w:pPr>
      <w:r w:rsidRPr="00BD37F2">
        <w:rPr>
          <w:i/>
          <w:sz w:val="22"/>
          <w:lang w:bidi="it-IT"/>
        </w:rPr>
        <w:t>Medicinali ad azione centrale/sostanze ad azione depressiva sul sistema nervoso centrale</w:t>
      </w:r>
    </w:p>
    <w:p w14:paraId="14278647" w14:textId="77777777" w:rsidR="00BD37F2" w:rsidRDefault="00BD37F2" w:rsidP="00C733B3">
      <w:pPr>
        <w:pStyle w:val="Default"/>
        <w:rPr>
          <w:i/>
          <w:sz w:val="22"/>
          <w:lang w:bidi="it-IT"/>
        </w:rPr>
      </w:pPr>
      <w:r w:rsidRPr="00BD37F2">
        <w:rPr>
          <w:i/>
          <w:sz w:val="22"/>
          <w:lang w:bidi="it-IT"/>
        </w:rPr>
        <w:t>(SNC), compresi l'alcol e i farmaci narcotici con azione depressiva sul SNC</w:t>
      </w:r>
    </w:p>
    <w:p w14:paraId="61CABDC6" w14:textId="7F3EDCD5" w:rsidR="009A428A" w:rsidRPr="00721B44" w:rsidRDefault="009A428A" w:rsidP="00BD37F2">
      <w:pPr>
        <w:pStyle w:val="Default"/>
        <w:rPr>
          <w:sz w:val="22"/>
        </w:rPr>
      </w:pPr>
      <w:r w:rsidRPr="009A428A">
        <w:rPr>
          <w:sz w:val="22"/>
          <w:lang w:bidi="it-IT"/>
        </w:rPr>
        <w:t xml:space="preserve">L'uso concomitante di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9A428A">
        <w:rPr>
          <w:sz w:val="22"/>
          <w:lang w:bidi="it-IT"/>
        </w:rPr>
        <w:t>con farmaci</w:t>
      </w:r>
      <w:r w:rsidR="00A20A69">
        <w:rPr>
          <w:sz w:val="22"/>
          <w:lang w:bidi="it-IT"/>
        </w:rPr>
        <w:t xml:space="preserve"> </w:t>
      </w:r>
      <w:r w:rsidR="00A96866">
        <w:rPr>
          <w:sz w:val="22"/>
          <w:lang w:bidi="it-IT"/>
        </w:rPr>
        <w:t xml:space="preserve">ad azione </w:t>
      </w:r>
      <w:r w:rsidRPr="009A428A">
        <w:rPr>
          <w:sz w:val="22"/>
          <w:lang w:bidi="it-IT"/>
        </w:rPr>
        <w:t>sedativ</w:t>
      </w:r>
      <w:r w:rsidR="00A96866">
        <w:rPr>
          <w:sz w:val="22"/>
          <w:lang w:bidi="it-IT"/>
        </w:rPr>
        <w:t>a</w:t>
      </w:r>
      <w:r w:rsidRPr="009A428A">
        <w:rPr>
          <w:sz w:val="22"/>
          <w:lang w:bidi="it-IT"/>
        </w:rPr>
        <w:t xml:space="preserve"> come le benzodiazepine o altri sedativi delle vie respiratorie o del</w:t>
      </w:r>
      <w:r w:rsidR="006D67A0" w:rsidRPr="009A428A">
        <w:rPr>
          <w:sz w:val="22"/>
          <w:lang w:bidi="it-IT"/>
        </w:rPr>
        <w:t xml:space="preserve"> SNC</w:t>
      </w:r>
      <w:r w:rsidRPr="009A428A">
        <w:rPr>
          <w:sz w:val="22"/>
          <w:lang w:bidi="it-IT"/>
        </w:rPr>
        <w:t xml:space="preserve"> (altri oppioidi, antitussivi o trattamenti sostitutivi, barbiturici, antipsicotici, antistaminici anti-H</w:t>
      </w:r>
      <w:r w:rsidRPr="009A428A">
        <w:rPr>
          <w:sz w:val="22"/>
          <w:vertAlign w:val="subscript"/>
          <w:lang w:bidi="it-IT"/>
        </w:rPr>
        <w:t>1</w:t>
      </w:r>
      <w:r w:rsidRPr="009A428A">
        <w:rPr>
          <w:sz w:val="22"/>
          <w:lang w:bidi="it-IT"/>
        </w:rPr>
        <w:t xml:space="preserve">, alcol) aumenta il rischio di sedazione, </w:t>
      </w:r>
      <w:r w:rsidR="00B3372E">
        <w:rPr>
          <w:sz w:val="22"/>
          <w:lang w:bidi="it-IT"/>
        </w:rPr>
        <w:t>depressione</w:t>
      </w:r>
      <w:r w:rsidR="00B3372E" w:rsidRPr="009A428A">
        <w:rPr>
          <w:sz w:val="22"/>
          <w:lang w:bidi="it-IT"/>
        </w:rPr>
        <w:t xml:space="preserve"> </w:t>
      </w:r>
      <w:r w:rsidRPr="009A428A">
        <w:rPr>
          <w:sz w:val="22"/>
          <w:lang w:bidi="it-IT"/>
        </w:rPr>
        <w:t xml:space="preserve">respiratoria, coma e morte a causa dell'effetto depressivo additivo </w:t>
      </w:r>
      <w:r w:rsidR="00B3372E">
        <w:rPr>
          <w:sz w:val="22"/>
          <w:lang w:bidi="it-IT"/>
        </w:rPr>
        <w:t>su</w:t>
      </w:r>
      <w:r w:rsidRPr="009A428A">
        <w:rPr>
          <w:sz w:val="22"/>
          <w:lang w:bidi="it-IT"/>
        </w:rPr>
        <w:t xml:space="preserve">l SNC. Pertanto, </w:t>
      </w:r>
      <w:r w:rsidR="00635116">
        <w:rPr>
          <w:sz w:val="22"/>
          <w:lang w:bidi="it-IT"/>
        </w:rPr>
        <w:t>ove si</w:t>
      </w:r>
      <w:r w:rsidRPr="009A428A">
        <w:rPr>
          <w:sz w:val="22"/>
          <w:lang w:bidi="it-IT"/>
        </w:rPr>
        <w:t xml:space="preserve"> contempl</w:t>
      </w:r>
      <w:r w:rsidR="00635116">
        <w:rPr>
          <w:sz w:val="22"/>
          <w:lang w:bidi="it-IT"/>
        </w:rPr>
        <w:t>i</w:t>
      </w:r>
      <w:r w:rsidRPr="009A428A">
        <w:rPr>
          <w:sz w:val="22"/>
          <w:lang w:bidi="it-IT"/>
        </w:rPr>
        <w:t xml:space="preserve"> una terapia combinata di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9A428A">
        <w:rPr>
          <w:sz w:val="22"/>
          <w:lang w:bidi="it-IT"/>
        </w:rPr>
        <w:t>con un sedativo delle vie respiratorie o del</w:t>
      </w:r>
      <w:r w:rsidR="00635116" w:rsidRPr="009A428A">
        <w:rPr>
          <w:sz w:val="22"/>
          <w:lang w:bidi="it-IT"/>
        </w:rPr>
        <w:t xml:space="preserve"> SNC</w:t>
      </w:r>
      <w:r w:rsidRPr="009A428A">
        <w:rPr>
          <w:sz w:val="22"/>
          <w:lang w:bidi="it-IT"/>
        </w:rPr>
        <w:t xml:space="preserve">, deve essere </w:t>
      </w:r>
      <w:r w:rsidR="00145EC7">
        <w:rPr>
          <w:sz w:val="22"/>
          <w:lang w:bidi="it-IT"/>
        </w:rPr>
        <w:t xml:space="preserve">presa in </w:t>
      </w:r>
      <w:r w:rsidRPr="009A428A">
        <w:rPr>
          <w:sz w:val="22"/>
          <w:lang w:bidi="it-IT"/>
        </w:rPr>
        <w:t>considera</w:t>
      </w:r>
      <w:r w:rsidR="00145EC7">
        <w:rPr>
          <w:sz w:val="22"/>
          <w:lang w:bidi="it-IT"/>
        </w:rPr>
        <w:t>zione</w:t>
      </w:r>
      <w:r w:rsidRPr="009A428A">
        <w:rPr>
          <w:sz w:val="22"/>
          <w:lang w:bidi="it-IT"/>
        </w:rPr>
        <w:t xml:space="preserve"> la riduzione del dos</w:t>
      </w:r>
      <w:r w:rsidR="00145EC7">
        <w:rPr>
          <w:sz w:val="22"/>
          <w:lang w:bidi="it-IT"/>
        </w:rPr>
        <w:t>aggio</w:t>
      </w:r>
      <w:r w:rsidRPr="009A428A">
        <w:rPr>
          <w:sz w:val="22"/>
          <w:lang w:bidi="it-IT"/>
        </w:rPr>
        <w:t xml:space="preserve"> di uno o</w:t>
      </w:r>
      <w:r w:rsidR="00145EC7">
        <w:rPr>
          <w:sz w:val="22"/>
          <w:lang w:bidi="it-IT"/>
        </w:rPr>
        <w:t xml:space="preserve"> di</w:t>
      </w:r>
      <w:r w:rsidRPr="009A428A">
        <w:rPr>
          <w:sz w:val="22"/>
          <w:lang w:bidi="it-IT"/>
        </w:rPr>
        <w:t xml:space="preserve"> entrambi gli agenti e deve essere limitata la durata dell'uso concomitante (</w:t>
      </w:r>
      <w:r w:rsidR="00516634">
        <w:rPr>
          <w:sz w:val="22"/>
          <w:lang w:bidi="it-IT"/>
        </w:rPr>
        <w:t>vedere</w:t>
      </w:r>
      <w:r w:rsidRPr="009A428A">
        <w:rPr>
          <w:sz w:val="22"/>
          <w:lang w:bidi="it-IT"/>
        </w:rPr>
        <w:t xml:space="preserve"> paragrafo 4.4).</w:t>
      </w:r>
      <w:r w:rsidR="00BD37F2">
        <w:rPr>
          <w:sz w:val="22"/>
          <w:lang w:bidi="it-IT"/>
        </w:rPr>
        <w:t xml:space="preserve"> L’</w:t>
      </w:r>
      <w:r w:rsidR="00BD37F2" w:rsidRPr="00BD37F2">
        <w:rPr>
          <w:sz w:val="22"/>
          <w:lang w:bidi="it-IT"/>
        </w:rPr>
        <w:t>uso</w:t>
      </w:r>
      <w:r w:rsidR="00BD37F2">
        <w:rPr>
          <w:sz w:val="22"/>
          <w:lang w:bidi="it-IT"/>
        </w:rPr>
        <w:t xml:space="preserve"> </w:t>
      </w:r>
      <w:r w:rsidR="00BD37F2" w:rsidRPr="00BD37F2">
        <w:rPr>
          <w:sz w:val="22"/>
          <w:lang w:bidi="it-IT"/>
        </w:rPr>
        <w:t xml:space="preserve">contemporaneo di oppioidi e </w:t>
      </w:r>
      <w:proofErr w:type="spellStart"/>
      <w:r w:rsidR="00BD37F2" w:rsidRPr="00BD37F2">
        <w:rPr>
          <w:sz w:val="22"/>
          <w:lang w:bidi="it-IT"/>
        </w:rPr>
        <w:t>gabapentinoidi</w:t>
      </w:r>
      <w:proofErr w:type="spellEnd"/>
      <w:r w:rsidR="00BD37F2" w:rsidRPr="00BD37F2">
        <w:rPr>
          <w:sz w:val="22"/>
          <w:lang w:bidi="it-IT"/>
        </w:rPr>
        <w:t xml:space="preserve"> (gabapentin e </w:t>
      </w:r>
      <w:proofErr w:type="spellStart"/>
      <w:r w:rsidR="00BD37F2" w:rsidRPr="00BD37F2">
        <w:rPr>
          <w:sz w:val="22"/>
          <w:lang w:bidi="it-IT"/>
        </w:rPr>
        <w:t>pregabalin</w:t>
      </w:r>
      <w:proofErr w:type="spellEnd"/>
      <w:r w:rsidR="00BD37F2" w:rsidRPr="00BD37F2">
        <w:rPr>
          <w:sz w:val="22"/>
          <w:lang w:bidi="it-IT"/>
        </w:rPr>
        <w:t>) aumenta il rischio di</w:t>
      </w:r>
      <w:r w:rsidR="00BD37F2">
        <w:rPr>
          <w:sz w:val="22"/>
          <w:lang w:bidi="it-IT"/>
        </w:rPr>
        <w:t xml:space="preserve"> </w:t>
      </w:r>
      <w:r w:rsidR="00BD37F2" w:rsidRPr="00BD37F2">
        <w:rPr>
          <w:sz w:val="22"/>
          <w:lang w:bidi="it-IT"/>
        </w:rPr>
        <w:t>sovradosaggio da oppioidi, depressione respiratoria e morte.</w:t>
      </w:r>
    </w:p>
    <w:p w14:paraId="53432047" w14:textId="77777777" w:rsidR="00F21620" w:rsidRPr="00721B44" w:rsidRDefault="00F21620" w:rsidP="00C733B3">
      <w:pPr>
        <w:pStyle w:val="Default"/>
        <w:rPr>
          <w:sz w:val="22"/>
        </w:rPr>
      </w:pPr>
    </w:p>
    <w:p w14:paraId="76CE1BCF" w14:textId="4E65E2CE" w:rsidR="009A428A" w:rsidRPr="0094657A" w:rsidRDefault="00C94BD9" w:rsidP="00C733B3">
      <w:pPr>
        <w:pStyle w:val="Default"/>
        <w:rPr>
          <w:i/>
          <w:sz w:val="22"/>
          <w:szCs w:val="22"/>
        </w:rPr>
      </w:pPr>
      <w:r>
        <w:rPr>
          <w:i/>
          <w:sz w:val="22"/>
          <w:lang w:bidi="it-IT"/>
        </w:rPr>
        <w:t>Oppioidi con azione mista a</w:t>
      </w:r>
      <w:r w:rsidR="009A428A" w:rsidRPr="00B63601">
        <w:rPr>
          <w:i/>
          <w:sz w:val="22"/>
          <w:lang w:bidi="it-IT"/>
        </w:rPr>
        <w:t>gonist</w:t>
      </w:r>
      <w:r>
        <w:rPr>
          <w:i/>
          <w:sz w:val="22"/>
          <w:lang w:bidi="it-IT"/>
        </w:rPr>
        <w:t>a</w:t>
      </w:r>
      <w:r w:rsidR="009A428A" w:rsidRPr="00B63601">
        <w:rPr>
          <w:i/>
          <w:sz w:val="22"/>
          <w:lang w:bidi="it-IT"/>
        </w:rPr>
        <w:t>/antagonist</w:t>
      </w:r>
      <w:r>
        <w:rPr>
          <w:i/>
          <w:sz w:val="22"/>
          <w:lang w:bidi="it-IT"/>
        </w:rPr>
        <w:t>a</w:t>
      </w:r>
    </w:p>
    <w:p w14:paraId="16642A28" w14:textId="7921C6F5" w:rsidR="009A428A" w:rsidRPr="00721B44" w:rsidRDefault="00565D99" w:rsidP="00C733B3">
      <w:pPr>
        <w:pStyle w:val="Default"/>
        <w:rPr>
          <w:sz w:val="22"/>
        </w:rPr>
      </w:pPr>
      <w:r>
        <w:rPr>
          <w:sz w:val="22"/>
          <w:lang w:bidi="it-IT"/>
        </w:rPr>
        <w:t>Occorre cautela</w:t>
      </w:r>
      <w:r w:rsidR="009A428A" w:rsidRPr="009A428A">
        <w:rPr>
          <w:sz w:val="22"/>
          <w:lang w:bidi="it-IT"/>
        </w:rPr>
        <w:t xml:space="preserve"> </w:t>
      </w:r>
      <w:r>
        <w:rPr>
          <w:sz w:val="22"/>
          <w:lang w:bidi="it-IT"/>
        </w:rPr>
        <w:t>nell’associare</w:t>
      </w:r>
      <w:r w:rsidR="009A428A" w:rsidRPr="009A428A">
        <w:rPr>
          <w:sz w:val="22"/>
          <w:lang w:bidi="it-IT"/>
        </w:rPr>
        <w:t xml:space="preserve"> </w:t>
      </w:r>
      <w:proofErr w:type="spellStart"/>
      <w:r w:rsidR="00D27C89">
        <w:rPr>
          <w:sz w:val="22"/>
          <w:lang w:bidi="it-IT"/>
        </w:rPr>
        <w:t>Tapentadolo</w:t>
      </w:r>
      <w:proofErr w:type="spellEnd"/>
      <w:r w:rsidR="00D27C89">
        <w:rPr>
          <w:sz w:val="22"/>
          <w:lang w:bidi="it-IT"/>
        </w:rPr>
        <w:t xml:space="preserve"> </w:t>
      </w:r>
      <w:r w:rsidR="009A428A" w:rsidRPr="009A428A">
        <w:rPr>
          <w:sz w:val="22"/>
          <w:lang w:bidi="it-IT"/>
        </w:rPr>
        <w:t xml:space="preserve">con agonisti/antagonisti misti dei mu-oppioidi (come </w:t>
      </w:r>
      <w:proofErr w:type="spellStart"/>
      <w:r w:rsidR="009A428A" w:rsidRPr="009A428A">
        <w:rPr>
          <w:sz w:val="22"/>
          <w:lang w:bidi="it-IT"/>
        </w:rPr>
        <w:t>pentazocina</w:t>
      </w:r>
      <w:proofErr w:type="spellEnd"/>
      <w:r w:rsidR="009A428A" w:rsidRPr="009A428A">
        <w:rPr>
          <w:sz w:val="22"/>
          <w:lang w:bidi="it-IT"/>
        </w:rPr>
        <w:t xml:space="preserve">, </w:t>
      </w:r>
      <w:proofErr w:type="spellStart"/>
      <w:r w:rsidR="009A428A" w:rsidRPr="009A428A">
        <w:rPr>
          <w:sz w:val="22"/>
          <w:lang w:bidi="it-IT"/>
        </w:rPr>
        <w:t>nalbufina</w:t>
      </w:r>
      <w:proofErr w:type="spellEnd"/>
      <w:r w:rsidR="009A428A" w:rsidRPr="009A428A">
        <w:rPr>
          <w:sz w:val="22"/>
          <w:lang w:bidi="it-IT"/>
        </w:rPr>
        <w:t>) o agonisti parziali dei mu-oppioidi (come buprenorfina) (</w:t>
      </w:r>
      <w:r w:rsidR="00516634">
        <w:rPr>
          <w:sz w:val="22"/>
          <w:lang w:bidi="it-IT"/>
        </w:rPr>
        <w:t>vedere</w:t>
      </w:r>
      <w:r w:rsidR="009A428A" w:rsidRPr="009A428A">
        <w:rPr>
          <w:sz w:val="22"/>
          <w:lang w:bidi="it-IT"/>
        </w:rPr>
        <w:t xml:space="preserve"> anche paragrafo 4.4).</w:t>
      </w:r>
    </w:p>
    <w:p w14:paraId="1BB1EFE3" w14:textId="77777777" w:rsidR="009A428A" w:rsidRPr="00721B44" w:rsidRDefault="009A428A" w:rsidP="00C733B3">
      <w:pPr>
        <w:pStyle w:val="Default"/>
        <w:rPr>
          <w:sz w:val="22"/>
        </w:rPr>
      </w:pPr>
    </w:p>
    <w:p w14:paraId="144CA984" w14:textId="2681753C" w:rsidR="009A428A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9A428A">
        <w:rPr>
          <w:sz w:val="22"/>
          <w:lang w:bidi="it-IT"/>
        </w:rPr>
        <w:t>può indurre convulsioni e</w:t>
      </w:r>
      <w:r w:rsidR="00D27610">
        <w:rPr>
          <w:sz w:val="22"/>
          <w:lang w:bidi="it-IT"/>
        </w:rPr>
        <w:t>d</w:t>
      </w:r>
      <w:r w:rsidR="009A428A">
        <w:rPr>
          <w:sz w:val="22"/>
          <w:lang w:bidi="it-IT"/>
        </w:rPr>
        <w:t xml:space="preserve"> aumentare il potenziale degli inibitori selettivi della ricaptazione della serotonina (SSRI), degli inibitori della ricaptazione della serotonina-norepinefrina (SNRI), degli antidepressivi triciclici, degli antipsicotici e di altri farmaci che abbassano la soglia convulsiva.</w:t>
      </w:r>
    </w:p>
    <w:p w14:paraId="5C0FDC75" w14:textId="77777777" w:rsidR="009A428A" w:rsidRPr="00721B44" w:rsidRDefault="009A428A" w:rsidP="00C733B3">
      <w:pPr>
        <w:pStyle w:val="Default"/>
        <w:rPr>
          <w:sz w:val="22"/>
        </w:rPr>
      </w:pPr>
    </w:p>
    <w:p w14:paraId="6789547C" w14:textId="0C92F3AF" w:rsidR="009A428A" w:rsidRPr="00721B44" w:rsidRDefault="009A428A" w:rsidP="00C733B3">
      <w:pPr>
        <w:pStyle w:val="Default"/>
        <w:rPr>
          <w:sz w:val="22"/>
        </w:rPr>
      </w:pPr>
      <w:r w:rsidRPr="009A428A">
        <w:rPr>
          <w:sz w:val="22"/>
          <w:lang w:bidi="it-IT"/>
        </w:rPr>
        <w:t>Ci sono state segnalazioni di sindrome serotonin</w:t>
      </w:r>
      <w:r w:rsidR="00874A8B">
        <w:rPr>
          <w:sz w:val="22"/>
          <w:lang w:bidi="it-IT"/>
        </w:rPr>
        <w:t>ergica</w:t>
      </w:r>
      <w:r w:rsidRPr="009A428A">
        <w:rPr>
          <w:sz w:val="22"/>
          <w:lang w:bidi="it-IT"/>
        </w:rPr>
        <w:t xml:space="preserve"> in connessione temporale con l'uso terapeutico di </w:t>
      </w:r>
      <w:proofErr w:type="spellStart"/>
      <w:r w:rsidRPr="009A428A">
        <w:rPr>
          <w:sz w:val="22"/>
          <w:lang w:bidi="it-IT"/>
        </w:rPr>
        <w:t>tapentadolo</w:t>
      </w:r>
      <w:proofErr w:type="spellEnd"/>
      <w:r w:rsidRPr="009A428A">
        <w:rPr>
          <w:sz w:val="22"/>
          <w:lang w:bidi="it-IT"/>
        </w:rPr>
        <w:t xml:space="preserve"> in combinazione con farmaci serotoninergici come gli inibitori selettivi della ricaptazione della serotonina (SSRI), gli inibitori della ricaptazione della serotonina-norepinefrina (SNRI) e gli antidepressivi triciclici.</w:t>
      </w:r>
    </w:p>
    <w:p w14:paraId="1A7B0D0A" w14:textId="77777777" w:rsidR="009A428A" w:rsidRPr="00721B44" w:rsidRDefault="009A428A" w:rsidP="00C733B3">
      <w:pPr>
        <w:pStyle w:val="Default"/>
        <w:rPr>
          <w:sz w:val="22"/>
        </w:rPr>
      </w:pPr>
    </w:p>
    <w:p w14:paraId="7DAFF300" w14:textId="28780B0E" w:rsidR="009A428A" w:rsidRPr="00721B44" w:rsidRDefault="009A428A" w:rsidP="00C733B3">
      <w:pPr>
        <w:pStyle w:val="Default"/>
        <w:rPr>
          <w:sz w:val="22"/>
        </w:rPr>
      </w:pPr>
      <w:r w:rsidRPr="009A428A">
        <w:rPr>
          <w:sz w:val="22"/>
          <w:lang w:bidi="it-IT"/>
        </w:rPr>
        <w:t>La sindrome serotonin</w:t>
      </w:r>
      <w:r w:rsidR="00874A8B">
        <w:rPr>
          <w:sz w:val="22"/>
          <w:lang w:bidi="it-IT"/>
        </w:rPr>
        <w:t>ergica</w:t>
      </w:r>
      <w:r w:rsidRPr="009A428A">
        <w:rPr>
          <w:sz w:val="22"/>
          <w:lang w:bidi="it-IT"/>
        </w:rPr>
        <w:t xml:space="preserve"> </w:t>
      </w:r>
      <w:r w:rsidR="00874A8B">
        <w:rPr>
          <w:sz w:val="22"/>
          <w:lang w:bidi="it-IT"/>
        </w:rPr>
        <w:t>è probabile</w:t>
      </w:r>
      <w:r w:rsidRPr="009A428A">
        <w:rPr>
          <w:sz w:val="22"/>
          <w:lang w:bidi="it-IT"/>
        </w:rPr>
        <w:t xml:space="preserve"> quando si osserva un</w:t>
      </w:r>
      <w:r w:rsidR="00874A8B">
        <w:rPr>
          <w:sz w:val="22"/>
          <w:lang w:bidi="it-IT"/>
        </w:rPr>
        <w:t>a</w:t>
      </w:r>
      <w:r w:rsidRPr="009A428A">
        <w:rPr>
          <w:sz w:val="22"/>
          <w:lang w:bidi="it-IT"/>
        </w:rPr>
        <w:t xml:space="preserve"> de</w:t>
      </w:r>
      <w:r w:rsidR="00874A8B">
        <w:rPr>
          <w:sz w:val="22"/>
          <w:lang w:bidi="it-IT"/>
        </w:rPr>
        <w:t xml:space="preserve">lle </w:t>
      </w:r>
      <w:r w:rsidRPr="009A428A">
        <w:rPr>
          <w:sz w:val="22"/>
          <w:lang w:bidi="it-IT"/>
        </w:rPr>
        <w:t xml:space="preserve">seguenti </w:t>
      </w:r>
      <w:r w:rsidR="00874A8B">
        <w:rPr>
          <w:sz w:val="22"/>
          <w:lang w:bidi="it-IT"/>
        </w:rPr>
        <w:t>condizioni</w:t>
      </w:r>
      <w:r w:rsidRPr="009A428A">
        <w:rPr>
          <w:sz w:val="22"/>
          <w:lang w:bidi="it-IT"/>
        </w:rPr>
        <w:t>:</w:t>
      </w:r>
    </w:p>
    <w:p w14:paraId="620A33F2" w14:textId="77777777" w:rsidR="009A428A" w:rsidRPr="00721B44" w:rsidRDefault="009A428A" w:rsidP="00C733B3">
      <w:pPr>
        <w:pStyle w:val="Default"/>
        <w:rPr>
          <w:sz w:val="22"/>
        </w:rPr>
      </w:pPr>
    </w:p>
    <w:p w14:paraId="3C77A8F3" w14:textId="4F7B3CE9" w:rsidR="009A428A" w:rsidRPr="00721B44" w:rsidRDefault="009A428A" w:rsidP="00B1724D">
      <w:pPr>
        <w:pStyle w:val="Default"/>
        <w:numPr>
          <w:ilvl w:val="0"/>
          <w:numId w:val="8"/>
        </w:numPr>
        <w:rPr>
          <w:sz w:val="22"/>
        </w:rPr>
      </w:pPr>
      <w:r w:rsidRPr="009A428A">
        <w:rPr>
          <w:sz w:val="22"/>
          <w:lang w:bidi="it-IT"/>
        </w:rPr>
        <w:t>Clono spontaneo</w:t>
      </w:r>
    </w:p>
    <w:p w14:paraId="74CD8F49" w14:textId="45DCA6BD" w:rsidR="009A428A" w:rsidRPr="00721B44" w:rsidRDefault="009A428A" w:rsidP="00B1724D">
      <w:pPr>
        <w:pStyle w:val="Default"/>
        <w:numPr>
          <w:ilvl w:val="0"/>
          <w:numId w:val="8"/>
        </w:numPr>
        <w:rPr>
          <w:sz w:val="22"/>
        </w:rPr>
      </w:pPr>
      <w:r w:rsidRPr="009A428A">
        <w:rPr>
          <w:sz w:val="22"/>
          <w:lang w:bidi="it-IT"/>
        </w:rPr>
        <w:t>Clono inducibile od oculare con agitazione o diaforesi</w:t>
      </w:r>
    </w:p>
    <w:p w14:paraId="251A93EE" w14:textId="3CF5704F" w:rsidR="009A428A" w:rsidRPr="00721B44" w:rsidRDefault="009A428A" w:rsidP="00B1724D">
      <w:pPr>
        <w:pStyle w:val="Default"/>
        <w:numPr>
          <w:ilvl w:val="0"/>
          <w:numId w:val="8"/>
        </w:numPr>
        <w:rPr>
          <w:sz w:val="22"/>
        </w:rPr>
      </w:pPr>
      <w:r w:rsidRPr="009A428A">
        <w:rPr>
          <w:sz w:val="22"/>
          <w:lang w:bidi="it-IT"/>
        </w:rPr>
        <w:t xml:space="preserve">Tremore e </w:t>
      </w:r>
      <w:proofErr w:type="spellStart"/>
      <w:r w:rsidRPr="009A428A">
        <w:rPr>
          <w:sz w:val="22"/>
          <w:lang w:bidi="it-IT"/>
        </w:rPr>
        <w:t>iperreflessia</w:t>
      </w:r>
      <w:proofErr w:type="spellEnd"/>
    </w:p>
    <w:p w14:paraId="1A2DF7BF" w14:textId="2EE263C3" w:rsidR="009A428A" w:rsidRPr="00721B44" w:rsidRDefault="009A428A" w:rsidP="00B1724D">
      <w:pPr>
        <w:pStyle w:val="Default"/>
        <w:numPr>
          <w:ilvl w:val="0"/>
          <w:numId w:val="8"/>
        </w:numPr>
        <w:rPr>
          <w:sz w:val="22"/>
        </w:rPr>
      </w:pPr>
      <w:r w:rsidRPr="009A428A">
        <w:rPr>
          <w:sz w:val="22"/>
          <w:lang w:bidi="it-IT"/>
        </w:rPr>
        <w:t>Ipertonia e temperatura corporea &gt; 38°C e clono oculare inducibile.</w:t>
      </w:r>
    </w:p>
    <w:p w14:paraId="708613EE" w14:textId="77777777" w:rsidR="009A428A" w:rsidRPr="00721B44" w:rsidRDefault="009A428A" w:rsidP="00C733B3">
      <w:pPr>
        <w:pStyle w:val="Default"/>
        <w:rPr>
          <w:sz w:val="22"/>
        </w:rPr>
      </w:pPr>
    </w:p>
    <w:p w14:paraId="62B77E7B" w14:textId="77777777" w:rsidR="009A428A" w:rsidRPr="00721B44" w:rsidRDefault="009A428A" w:rsidP="00C733B3">
      <w:pPr>
        <w:pStyle w:val="Default"/>
        <w:rPr>
          <w:sz w:val="22"/>
        </w:rPr>
      </w:pPr>
      <w:r w:rsidRPr="009A428A">
        <w:rPr>
          <w:sz w:val="22"/>
          <w:lang w:bidi="it-IT"/>
        </w:rPr>
        <w:t>La sospensione dei farmaci serotoninergici porta solitamente a un rapido miglioramento. Il trattamento dipende dalla natura e dalla gravità dei sintomi.</w:t>
      </w:r>
    </w:p>
    <w:p w14:paraId="347C199D" w14:textId="77777777" w:rsidR="009A428A" w:rsidRPr="00721B44" w:rsidRDefault="009A428A" w:rsidP="00C733B3">
      <w:pPr>
        <w:pStyle w:val="Default"/>
        <w:rPr>
          <w:sz w:val="22"/>
        </w:rPr>
      </w:pPr>
    </w:p>
    <w:p w14:paraId="17EF6937" w14:textId="4BC7C373" w:rsidR="009A428A" w:rsidRPr="00721B44" w:rsidRDefault="009A428A" w:rsidP="00C733B3">
      <w:pPr>
        <w:pStyle w:val="Default"/>
        <w:rPr>
          <w:sz w:val="22"/>
        </w:rPr>
      </w:pPr>
      <w:r w:rsidRPr="009A428A">
        <w:rPr>
          <w:sz w:val="22"/>
          <w:lang w:bidi="it-IT"/>
        </w:rPr>
        <w:t xml:space="preserve">La principale via di eliminazione del </w:t>
      </w:r>
      <w:proofErr w:type="spellStart"/>
      <w:r w:rsidRPr="009A428A">
        <w:rPr>
          <w:sz w:val="22"/>
          <w:lang w:bidi="it-IT"/>
        </w:rPr>
        <w:t>tapentadolo</w:t>
      </w:r>
      <w:proofErr w:type="spellEnd"/>
      <w:r w:rsidRPr="009A428A">
        <w:rPr>
          <w:sz w:val="22"/>
          <w:lang w:bidi="it-IT"/>
        </w:rPr>
        <w:t xml:space="preserve"> è la coniugazione con l'acido glucuronico</w:t>
      </w:r>
      <w:r w:rsidR="00874A8B">
        <w:rPr>
          <w:sz w:val="22"/>
          <w:lang w:bidi="it-IT"/>
        </w:rPr>
        <w:t xml:space="preserve"> </w:t>
      </w:r>
      <w:r w:rsidRPr="009A428A">
        <w:rPr>
          <w:sz w:val="22"/>
          <w:lang w:bidi="it-IT"/>
        </w:rPr>
        <w:t>media</w:t>
      </w:r>
      <w:r w:rsidR="00874A8B">
        <w:rPr>
          <w:sz w:val="22"/>
          <w:lang w:bidi="it-IT"/>
        </w:rPr>
        <w:t>nte l’enzima</w:t>
      </w:r>
      <w:r w:rsidRPr="009A428A">
        <w:rPr>
          <w:sz w:val="22"/>
          <w:lang w:bidi="it-IT"/>
        </w:rPr>
        <w:t xml:space="preserve"> uridina</w:t>
      </w:r>
      <w:r w:rsidR="00874A8B">
        <w:rPr>
          <w:sz w:val="22"/>
          <w:lang w:bidi="it-IT"/>
        </w:rPr>
        <w:t>-</w:t>
      </w:r>
      <w:proofErr w:type="spellStart"/>
      <w:r w:rsidRPr="009A428A">
        <w:rPr>
          <w:sz w:val="22"/>
          <w:lang w:bidi="it-IT"/>
        </w:rPr>
        <w:t>difosfato</w:t>
      </w:r>
      <w:proofErr w:type="spellEnd"/>
      <w:r w:rsidRPr="009A428A">
        <w:rPr>
          <w:sz w:val="22"/>
          <w:lang w:bidi="it-IT"/>
        </w:rPr>
        <w:t xml:space="preserve"> </w:t>
      </w:r>
      <w:proofErr w:type="spellStart"/>
      <w:r w:rsidRPr="009A428A">
        <w:rPr>
          <w:sz w:val="22"/>
          <w:lang w:bidi="it-IT"/>
        </w:rPr>
        <w:t>glucuronosiltransferasi</w:t>
      </w:r>
      <w:proofErr w:type="spellEnd"/>
      <w:r w:rsidRPr="009A428A">
        <w:rPr>
          <w:sz w:val="22"/>
          <w:lang w:bidi="it-IT"/>
        </w:rPr>
        <w:t xml:space="preserve"> (UGT), principalmente le </w:t>
      </w:r>
      <w:proofErr w:type="spellStart"/>
      <w:r w:rsidRPr="009A428A">
        <w:rPr>
          <w:sz w:val="22"/>
          <w:lang w:bidi="it-IT"/>
        </w:rPr>
        <w:t>isoforme</w:t>
      </w:r>
      <w:proofErr w:type="spellEnd"/>
      <w:r w:rsidRPr="009A428A">
        <w:rPr>
          <w:sz w:val="22"/>
          <w:lang w:bidi="it-IT"/>
        </w:rPr>
        <w:t xml:space="preserve"> UGT1A6, UGT1A9 e UGT2B7. Pertanto, la somministrazione concomitante con forti inibitori di questi isoenzimi (ad es. </w:t>
      </w:r>
      <w:proofErr w:type="spellStart"/>
      <w:r w:rsidRPr="009A428A">
        <w:rPr>
          <w:sz w:val="22"/>
          <w:lang w:bidi="it-IT"/>
        </w:rPr>
        <w:t>ketoconazolo</w:t>
      </w:r>
      <w:proofErr w:type="spellEnd"/>
      <w:r w:rsidRPr="009A428A">
        <w:rPr>
          <w:sz w:val="22"/>
          <w:lang w:bidi="it-IT"/>
        </w:rPr>
        <w:t xml:space="preserve">, </w:t>
      </w:r>
      <w:proofErr w:type="spellStart"/>
      <w:r w:rsidRPr="009A428A">
        <w:rPr>
          <w:sz w:val="22"/>
          <w:lang w:bidi="it-IT"/>
        </w:rPr>
        <w:t>fluconazolo</w:t>
      </w:r>
      <w:proofErr w:type="spellEnd"/>
      <w:r w:rsidRPr="009A428A">
        <w:rPr>
          <w:sz w:val="22"/>
          <w:lang w:bidi="it-IT"/>
        </w:rPr>
        <w:t xml:space="preserve">, acido </w:t>
      </w:r>
      <w:proofErr w:type="spellStart"/>
      <w:r w:rsidRPr="009A428A">
        <w:rPr>
          <w:sz w:val="22"/>
          <w:lang w:bidi="it-IT"/>
        </w:rPr>
        <w:t>meclofenamico</w:t>
      </w:r>
      <w:proofErr w:type="spellEnd"/>
      <w:r w:rsidRPr="009A428A">
        <w:rPr>
          <w:sz w:val="22"/>
          <w:lang w:bidi="it-IT"/>
        </w:rPr>
        <w:t xml:space="preserve">) può portare a un aumento dell'esposizione sistemica di </w:t>
      </w:r>
      <w:proofErr w:type="spellStart"/>
      <w:r w:rsidRPr="009A428A">
        <w:rPr>
          <w:sz w:val="22"/>
          <w:lang w:bidi="it-IT"/>
        </w:rPr>
        <w:t>tapentadolo</w:t>
      </w:r>
      <w:proofErr w:type="spellEnd"/>
      <w:r w:rsidRPr="009A428A">
        <w:rPr>
          <w:sz w:val="22"/>
          <w:lang w:bidi="it-IT"/>
        </w:rPr>
        <w:t xml:space="preserve"> (</w:t>
      </w:r>
      <w:r w:rsidR="00516634">
        <w:rPr>
          <w:sz w:val="22"/>
          <w:lang w:bidi="it-IT"/>
        </w:rPr>
        <w:t>vedere</w:t>
      </w:r>
      <w:r w:rsidRPr="009A428A">
        <w:rPr>
          <w:sz w:val="22"/>
          <w:lang w:bidi="it-IT"/>
        </w:rPr>
        <w:t xml:space="preserve"> paragrafo 5.2).</w:t>
      </w:r>
    </w:p>
    <w:p w14:paraId="7BE820FA" w14:textId="77777777" w:rsidR="009A428A" w:rsidRPr="00721B44" w:rsidRDefault="009A428A" w:rsidP="00C733B3">
      <w:pPr>
        <w:pStyle w:val="Default"/>
        <w:rPr>
          <w:sz w:val="22"/>
        </w:rPr>
      </w:pPr>
    </w:p>
    <w:p w14:paraId="5683920A" w14:textId="1651D063" w:rsidR="00F21620" w:rsidRPr="00721B44" w:rsidRDefault="00E42B6B" w:rsidP="00C733B3">
      <w:pPr>
        <w:pStyle w:val="Default"/>
        <w:rPr>
          <w:sz w:val="22"/>
        </w:rPr>
      </w:pPr>
      <w:r>
        <w:rPr>
          <w:sz w:val="22"/>
          <w:lang w:bidi="it-IT"/>
        </w:rPr>
        <w:t>Ne</w:t>
      </w:r>
      <w:r w:rsidR="008543EB" w:rsidRPr="008543EB">
        <w:rPr>
          <w:sz w:val="22"/>
          <w:lang w:bidi="it-IT"/>
        </w:rPr>
        <w:t xml:space="preserve">i pazienti in trattamento con </w:t>
      </w:r>
      <w:proofErr w:type="spellStart"/>
      <w:r w:rsidR="008543EB" w:rsidRPr="008543EB">
        <w:rPr>
          <w:sz w:val="22"/>
          <w:lang w:bidi="it-IT"/>
        </w:rPr>
        <w:t>tapentadolo</w:t>
      </w:r>
      <w:proofErr w:type="spellEnd"/>
      <w:r w:rsidR="008543EB" w:rsidRPr="008543EB">
        <w:rPr>
          <w:sz w:val="22"/>
          <w:lang w:bidi="it-IT"/>
        </w:rPr>
        <w:t xml:space="preserve">, </w:t>
      </w:r>
      <w:r>
        <w:rPr>
          <w:sz w:val="22"/>
          <w:lang w:bidi="it-IT"/>
        </w:rPr>
        <w:t>occorre</w:t>
      </w:r>
      <w:r w:rsidR="008543EB" w:rsidRPr="008543EB">
        <w:rPr>
          <w:sz w:val="22"/>
          <w:lang w:bidi="it-IT"/>
        </w:rPr>
        <w:t xml:space="preserve"> cautela se</w:t>
      </w:r>
      <w:r w:rsidR="00062408">
        <w:rPr>
          <w:sz w:val="22"/>
          <w:lang w:bidi="it-IT"/>
        </w:rPr>
        <w:t xml:space="preserve"> </w:t>
      </w:r>
      <w:r>
        <w:rPr>
          <w:sz w:val="22"/>
          <w:lang w:bidi="it-IT"/>
        </w:rPr>
        <w:t xml:space="preserve">si inizia o si sospende </w:t>
      </w:r>
      <w:r w:rsidR="008543EB" w:rsidRPr="008543EB">
        <w:rPr>
          <w:sz w:val="22"/>
          <w:lang w:bidi="it-IT"/>
        </w:rPr>
        <w:t xml:space="preserve">la somministrazione concomitante di farmaci </w:t>
      </w:r>
      <w:r w:rsidRPr="008543EB">
        <w:rPr>
          <w:sz w:val="22"/>
          <w:lang w:bidi="it-IT"/>
        </w:rPr>
        <w:t xml:space="preserve">forti </w:t>
      </w:r>
      <w:r w:rsidR="008543EB" w:rsidRPr="008543EB">
        <w:rPr>
          <w:sz w:val="22"/>
          <w:lang w:bidi="it-IT"/>
        </w:rPr>
        <w:t>induttori enzimatici (ad es. rifampicina, fenobarbital, erba di San Giovanni (</w:t>
      </w:r>
      <w:proofErr w:type="spellStart"/>
      <w:r w:rsidR="008543EB" w:rsidRPr="008543EB">
        <w:rPr>
          <w:sz w:val="22"/>
          <w:lang w:bidi="it-IT"/>
        </w:rPr>
        <w:t>hypericum</w:t>
      </w:r>
      <w:proofErr w:type="spellEnd"/>
      <w:r w:rsidR="008543EB" w:rsidRPr="008543EB">
        <w:rPr>
          <w:sz w:val="22"/>
          <w:lang w:bidi="it-IT"/>
        </w:rPr>
        <w:t xml:space="preserve"> </w:t>
      </w:r>
      <w:proofErr w:type="spellStart"/>
      <w:r w:rsidR="008543EB" w:rsidRPr="008543EB">
        <w:rPr>
          <w:sz w:val="22"/>
          <w:lang w:bidi="it-IT"/>
        </w:rPr>
        <w:t>perforatum</w:t>
      </w:r>
      <w:proofErr w:type="spellEnd"/>
      <w:r w:rsidR="00006225">
        <w:rPr>
          <w:sz w:val="22"/>
          <w:lang w:bidi="it-IT"/>
        </w:rPr>
        <w:t xml:space="preserve">)) </w:t>
      </w:r>
      <w:r w:rsidR="008543EB" w:rsidRPr="008543EB">
        <w:rPr>
          <w:sz w:val="22"/>
          <w:lang w:bidi="it-IT"/>
        </w:rPr>
        <w:t>poiché ciò può portare rispettivamente</w:t>
      </w:r>
      <w:r>
        <w:rPr>
          <w:sz w:val="22"/>
          <w:lang w:bidi="it-IT"/>
        </w:rPr>
        <w:t xml:space="preserve"> </w:t>
      </w:r>
      <w:r w:rsidR="008543EB" w:rsidRPr="008543EB">
        <w:rPr>
          <w:sz w:val="22"/>
          <w:lang w:bidi="it-IT"/>
        </w:rPr>
        <w:t>a una diminuzione dell'efficacia o al rischio di effetti avversi.</w:t>
      </w:r>
    </w:p>
    <w:p w14:paraId="17DC2283" w14:textId="77777777" w:rsidR="00440DCF" w:rsidRPr="00721B44" w:rsidRDefault="00440DCF" w:rsidP="00C733B3">
      <w:pPr>
        <w:pStyle w:val="Default"/>
        <w:rPr>
          <w:sz w:val="22"/>
        </w:rPr>
      </w:pPr>
    </w:p>
    <w:p w14:paraId="1CF7A780" w14:textId="33946704" w:rsidR="009A428A" w:rsidRPr="00721B44" w:rsidRDefault="009A428A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lastRenderedPageBreak/>
        <w:t xml:space="preserve">Il trattamento con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deve essere evitato nei pazienti che stanno </w:t>
      </w:r>
      <w:r w:rsidR="00E43FF8">
        <w:rPr>
          <w:sz w:val="22"/>
          <w:lang w:bidi="it-IT"/>
        </w:rPr>
        <w:t>assum</w:t>
      </w:r>
      <w:r w:rsidRPr="008543EB">
        <w:rPr>
          <w:sz w:val="22"/>
          <w:lang w:bidi="it-IT"/>
        </w:rPr>
        <w:t xml:space="preserve">endo inibitori delle </w:t>
      </w:r>
      <w:proofErr w:type="spellStart"/>
      <w:r w:rsidRPr="008543EB">
        <w:rPr>
          <w:sz w:val="22"/>
          <w:lang w:bidi="it-IT"/>
        </w:rPr>
        <w:t>monoamino</w:t>
      </w:r>
      <w:proofErr w:type="spellEnd"/>
      <w:r w:rsidRPr="008543EB">
        <w:rPr>
          <w:sz w:val="22"/>
          <w:lang w:bidi="it-IT"/>
        </w:rPr>
        <w:t xml:space="preserve"> ossidasi (MAO) o che l</w:t>
      </w:r>
      <w:r w:rsidR="00E43FF8">
        <w:rPr>
          <w:sz w:val="22"/>
          <w:lang w:bidi="it-IT"/>
        </w:rPr>
        <w:t>i</w:t>
      </w:r>
      <w:r w:rsidRPr="008543EB">
        <w:rPr>
          <w:sz w:val="22"/>
          <w:lang w:bidi="it-IT"/>
        </w:rPr>
        <w:t xml:space="preserve"> hanno assunt</w:t>
      </w:r>
      <w:r w:rsidR="00AA4344">
        <w:rPr>
          <w:sz w:val="22"/>
          <w:lang w:bidi="it-IT"/>
        </w:rPr>
        <w:t>i</w:t>
      </w:r>
      <w:r w:rsidRPr="008543EB">
        <w:rPr>
          <w:sz w:val="22"/>
          <w:lang w:bidi="it-IT"/>
        </w:rPr>
        <w:t xml:space="preserve"> negli ultimi 14 giorni a causa dei potenziali effetti additivi sulle concentrazioni </w:t>
      </w:r>
      <w:r w:rsidR="00E43FF8" w:rsidRPr="008543EB">
        <w:rPr>
          <w:sz w:val="22"/>
          <w:lang w:bidi="it-IT"/>
        </w:rPr>
        <w:t>sinaptic</w:t>
      </w:r>
      <w:r w:rsidR="00E43FF8">
        <w:rPr>
          <w:sz w:val="22"/>
          <w:lang w:bidi="it-IT"/>
        </w:rPr>
        <w:t>he</w:t>
      </w:r>
      <w:r w:rsidR="00E43FF8" w:rsidRPr="008543EB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di noradrenalina che possono provocare eventi </w:t>
      </w:r>
      <w:r w:rsidR="00E43FF8" w:rsidRPr="008543EB">
        <w:rPr>
          <w:sz w:val="22"/>
          <w:lang w:bidi="it-IT"/>
        </w:rPr>
        <w:t xml:space="preserve">avversi </w:t>
      </w:r>
      <w:r w:rsidRPr="008543EB">
        <w:rPr>
          <w:sz w:val="22"/>
          <w:lang w:bidi="it-IT"/>
        </w:rPr>
        <w:t>cardiovascolari, come</w:t>
      </w:r>
      <w:r w:rsidR="00E43FF8">
        <w:rPr>
          <w:sz w:val="22"/>
          <w:lang w:bidi="it-IT"/>
        </w:rPr>
        <w:t xml:space="preserve"> ad esempio </w:t>
      </w:r>
      <w:r w:rsidRPr="008543EB">
        <w:rPr>
          <w:sz w:val="22"/>
          <w:lang w:bidi="it-IT"/>
        </w:rPr>
        <w:t>crisi ipertensive (</w:t>
      </w:r>
      <w:r w:rsidR="00516634">
        <w:rPr>
          <w:sz w:val="22"/>
          <w:lang w:bidi="it-IT"/>
        </w:rPr>
        <w:t>vedere</w:t>
      </w:r>
      <w:r w:rsidRPr="008543EB">
        <w:rPr>
          <w:sz w:val="22"/>
          <w:lang w:bidi="it-IT"/>
        </w:rPr>
        <w:t xml:space="preserve"> paragrafo 4.4) </w:t>
      </w:r>
    </w:p>
    <w:p w14:paraId="5C6F4A3F" w14:textId="77777777" w:rsidR="009A428A" w:rsidRPr="00721B44" w:rsidRDefault="009A428A" w:rsidP="00C733B3">
      <w:pPr>
        <w:pStyle w:val="Default"/>
        <w:rPr>
          <w:b/>
          <w:sz w:val="22"/>
        </w:rPr>
      </w:pPr>
    </w:p>
    <w:p w14:paraId="173E68BE" w14:textId="5F40D23A" w:rsidR="008543EB" w:rsidRPr="00B1724D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4.6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Fertilità, gravidanza e allattamento </w:t>
      </w:r>
    </w:p>
    <w:p w14:paraId="0E976B26" w14:textId="77777777" w:rsidR="00F21620" w:rsidRPr="00721B44" w:rsidRDefault="00F21620" w:rsidP="00C733B3">
      <w:pPr>
        <w:pStyle w:val="Default"/>
        <w:rPr>
          <w:sz w:val="22"/>
        </w:rPr>
      </w:pPr>
    </w:p>
    <w:p w14:paraId="5045105F" w14:textId="77777777" w:rsidR="008543EB" w:rsidRPr="00721B44" w:rsidRDefault="008543EB" w:rsidP="00C733B3">
      <w:pPr>
        <w:pStyle w:val="Default"/>
        <w:rPr>
          <w:sz w:val="22"/>
        </w:rPr>
      </w:pPr>
      <w:r w:rsidRPr="008543EB">
        <w:rPr>
          <w:i/>
          <w:sz w:val="22"/>
          <w:lang w:bidi="it-IT"/>
        </w:rPr>
        <w:t xml:space="preserve">Gravidanza </w:t>
      </w:r>
    </w:p>
    <w:p w14:paraId="0491F411" w14:textId="7BEC1AF4" w:rsidR="008543EB" w:rsidRPr="00721B44" w:rsidRDefault="00D928BB" w:rsidP="00C733B3">
      <w:pPr>
        <w:pStyle w:val="Default"/>
        <w:rPr>
          <w:sz w:val="22"/>
        </w:rPr>
      </w:pPr>
      <w:r>
        <w:rPr>
          <w:sz w:val="22"/>
          <w:lang w:bidi="it-IT"/>
        </w:rPr>
        <w:t xml:space="preserve">I dati sull’utilizzo nelle </w:t>
      </w:r>
      <w:r w:rsidRPr="008543EB">
        <w:rPr>
          <w:sz w:val="22"/>
          <w:lang w:bidi="it-IT"/>
        </w:rPr>
        <w:t>donne in gravidanza</w:t>
      </w:r>
      <w:r w:rsidRPr="008543EB" w:rsidDel="00D928BB">
        <w:rPr>
          <w:sz w:val="22"/>
          <w:lang w:bidi="it-IT"/>
        </w:rPr>
        <w:t xml:space="preserve"> </w:t>
      </w:r>
      <w:r>
        <w:rPr>
          <w:sz w:val="22"/>
          <w:lang w:bidi="it-IT"/>
        </w:rPr>
        <w:t>sono</w:t>
      </w:r>
      <w:r w:rsidR="008543EB" w:rsidRPr="008543EB">
        <w:rPr>
          <w:sz w:val="22"/>
          <w:lang w:bidi="it-IT"/>
        </w:rPr>
        <w:t xml:space="preserve"> molto limitat</w:t>
      </w:r>
      <w:r>
        <w:rPr>
          <w:sz w:val="22"/>
          <w:lang w:bidi="it-IT"/>
        </w:rPr>
        <w:t>i</w:t>
      </w:r>
      <w:r w:rsidR="008543EB" w:rsidRPr="008543EB">
        <w:rPr>
          <w:sz w:val="22"/>
          <w:lang w:bidi="it-IT"/>
        </w:rPr>
        <w:t xml:space="preserve">. </w:t>
      </w:r>
    </w:p>
    <w:p w14:paraId="6E4CE4B3" w14:textId="7B419786" w:rsidR="008543EB" w:rsidRPr="00721B44" w:rsidRDefault="00D928BB" w:rsidP="00C733B3">
      <w:pPr>
        <w:pStyle w:val="Default"/>
        <w:rPr>
          <w:sz w:val="22"/>
        </w:rPr>
      </w:pPr>
      <w:r>
        <w:rPr>
          <w:sz w:val="22"/>
          <w:lang w:bidi="it-IT"/>
        </w:rPr>
        <w:t>S</w:t>
      </w:r>
      <w:r w:rsidR="008543EB" w:rsidRPr="008543EB">
        <w:rPr>
          <w:sz w:val="22"/>
          <w:lang w:bidi="it-IT"/>
        </w:rPr>
        <w:t xml:space="preserve">tudi </w:t>
      </w:r>
      <w:r>
        <w:rPr>
          <w:sz w:val="22"/>
          <w:lang w:bidi="it-IT"/>
        </w:rPr>
        <w:t xml:space="preserve">effettuati </w:t>
      </w:r>
      <w:r w:rsidR="008543EB" w:rsidRPr="008543EB">
        <w:rPr>
          <w:sz w:val="22"/>
          <w:lang w:bidi="it-IT"/>
        </w:rPr>
        <w:t>sugli animali non hanno mostrato effetti teratogeni. Tuttavia, sviluppo ritardato e</w:t>
      </w:r>
      <w:r>
        <w:rPr>
          <w:sz w:val="22"/>
          <w:lang w:bidi="it-IT"/>
        </w:rPr>
        <w:t xml:space="preserve">d </w:t>
      </w:r>
      <w:proofErr w:type="spellStart"/>
      <w:r w:rsidR="008543EB" w:rsidRPr="008543EB">
        <w:rPr>
          <w:sz w:val="22"/>
          <w:lang w:bidi="it-IT"/>
        </w:rPr>
        <w:t>embriotossicità</w:t>
      </w:r>
      <w:proofErr w:type="spellEnd"/>
      <w:r w:rsidR="008543EB" w:rsidRPr="008543EB">
        <w:rPr>
          <w:sz w:val="22"/>
          <w:lang w:bidi="it-IT"/>
        </w:rPr>
        <w:t xml:space="preserve"> sono stati osservati </w:t>
      </w:r>
      <w:r>
        <w:rPr>
          <w:sz w:val="22"/>
          <w:lang w:bidi="it-IT"/>
        </w:rPr>
        <w:t>a</w:t>
      </w:r>
      <w:r w:rsidR="008543EB" w:rsidRPr="008543EB">
        <w:rPr>
          <w:sz w:val="22"/>
          <w:lang w:bidi="it-IT"/>
        </w:rPr>
        <w:t xml:space="preserve"> dosi che hanno determinato una farmacologia esagerata (effetti sul sistema nervoso centrale legati ai mu-oppioidi relativi a dosaggi superiori al</w:t>
      </w:r>
      <w:r>
        <w:rPr>
          <w:sz w:val="22"/>
          <w:lang w:bidi="it-IT"/>
        </w:rPr>
        <w:t xml:space="preserve"> range</w:t>
      </w:r>
      <w:r w:rsidR="008543EB" w:rsidRPr="008543EB">
        <w:rPr>
          <w:sz w:val="22"/>
          <w:lang w:bidi="it-IT"/>
        </w:rPr>
        <w:t xml:space="preserve"> terapeutico). Gli effetti sullo sviluppo postnatale sono stati osservati già al NOAEL materno (</w:t>
      </w:r>
      <w:r w:rsidR="00516634">
        <w:rPr>
          <w:sz w:val="22"/>
          <w:lang w:bidi="it-IT"/>
        </w:rPr>
        <w:t>vedere</w:t>
      </w:r>
      <w:r w:rsidR="008543EB" w:rsidRPr="008543EB">
        <w:rPr>
          <w:sz w:val="22"/>
          <w:lang w:bidi="it-IT"/>
        </w:rPr>
        <w:t xml:space="preserve"> paragrafo 5.3). </w:t>
      </w:r>
    </w:p>
    <w:p w14:paraId="16EE8D88" w14:textId="08EEBA6C" w:rsidR="008543EB" w:rsidRPr="00721B44" w:rsidRDefault="00931244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F8599A">
        <w:rPr>
          <w:sz w:val="22"/>
          <w:lang w:bidi="it-IT"/>
        </w:rPr>
        <w:t xml:space="preserve">deve essere somministrato durante la gravidanza solo se il potenziale </w:t>
      </w:r>
      <w:r w:rsidR="00617C32">
        <w:rPr>
          <w:sz w:val="22"/>
          <w:lang w:bidi="it-IT"/>
        </w:rPr>
        <w:t xml:space="preserve">beneficio </w:t>
      </w:r>
      <w:r w:rsidR="00F8599A">
        <w:rPr>
          <w:sz w:val="22"/>
          <w:lang w:bidi="it-IT"/>
        </w:rPr>
        <w:t>giustific</w:t>
      </w:r>
      <w:r w:rsidR="00617C32">
        <w:rPr>
          <w:sz w:val="22"/>
          <w:lang w:bidi="it-IT"/>
        </w:rPr>
        <w:t>hi</w:t>
      </w:r>
      <w:r w:rsidR="00F8599A">
        <w:rPr>
          <w:sz w:val="22"/>
          <w:lang w:bidi="it-IT"/>
        </w:rPr>
        <w:t xml:space="preserve"> il </w:t>
      </w:r>
      <w:r w:rsidR="00617C32">
        <w:rPr>
          <w:sz w:val="22"/>
          <w:lang w:bidi="it-IT"/>
        </w:rPr>
        <w:t xml:space="preserve">potenziale </w:t>
      </w:r>
      <w:r w:rsidR="00F8599A">
        <w:rPr>
          <w:sz w:val="22"/>
          <w:lang w:bidi="it-IT"/>
        </w:rPr>
        <w:t xml:space="preserve">rischio per il feto. </w:t>
      </w:r>
    </w:p>
    <w:p w14:paraId="420D7427" w14:textId="77777777" w:rsidR="00F21620" w:rsidRPr="00721B44" w:rsidRDefault="00F21620" w:rsidP="00C733B3">
      <w:pPr>
        <w:pStyle w:val="Default"/>
        <w:rPr>
          <w:sz w:val="22"/>
        </w:rPr>
      </w:pPr>
    </w:p>
    <w:p w14:paraId="58B86077" w14:textId="77777777" w:rsidR="008543EB" w:rsidRPr="00721B44" w:rsidRDefault="008543EB" w:rsidP="00C733B3">
      <w:pPr>
        <w:pStyle w:val="Default"/>
        <w:rPr>
          <w:sz w:val="22"/>
        </w:rPr>
      </w:pPr>
      <w:r w:rsidRPr="008543EB">
        <w:rPr>
          <w:i/>
          <w:sz w:val="22"/>
          <w:lang w:bidi="it-IT"/>
        </w:rPr>
        <w:t xml:space="preserve">Travaglio e parto </w:t>
      </w:r>
    </w:p>
    <w:p w14:paraId="345988B4" w14:textId="74F63E97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L'effetto del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sul travaglio e sul parto negli esseri umani non è noto.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non è raccomandato per l'uso nelle donne </w:t>
      </w:r>
      <w:r w:rsidR="00FB6C0C">
        <w:rPr>
          <w:sz w:val="22"/>
          <w:lang w:bidi="it-IT"/>
        </w:rPr>
        <w:t>durante</w:t>
      </w:r>
      <w:r w:rsidRPr="008543EB">
        <w:rPr>
          <w:sz w:val="22"/>
          <w:lang w:bidi="it-IT"/>
        </w:rPr>
        <w:t xml:space="preserve"> e immediatamente prima del travaglio e del parto. A causa dell'attività agonista sui recettori mu-oppioidi d</w:t>
      </w:r>
      <w:r w:rsidR="002A312D">
        <w:rPr>
          <w:sz w:val="22"/>
          <w:lang w:bidi="it-IT"/>
        </w:rPr>
        <w:t>i</w:t>
      </w:r>
      <w:r w:rsidRPr="008543EB">
        <w:rPr>
          <w:sz w:val="22"/>
          <w:lang w:bidi="it-IT"/>
        </w:rPr>
        <w:t xml:space="preserve">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, i neonati le cui madri hanno assunto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devono essere monitorati per l</w:t>
      </w:r>
      <w:r w:rsidR="002A312D">
        <w:rPr>
          <w:sz w:val="22"/>
          <w:lang w:bidi="it-IT"/>
        </w:rPr>
        <w:t>a depressione</w:t>
      </w:r>
      <w:r w:rsidRPr="008543EB">
        <w:rPr>
          <w:sz w:val="22"/>
          <w:lang w:bidi="it-IT"/>
        </w:rPr>
        <w:t xml:space="preserve"> respiratoria. </w:t>
      </w:r>
    </w:p>
    <w:p w14:paraId="0E77DC67" w14:textId="77777777" w:rsidR="00F21620" w:rsidRPr="00721B44" w:rsidRDefault="00F21620" w:rsidP="00C733B3">
      <w:pPr>
        <w:pStyle w:val="Default"/>
        <w:rPr>
          <w:sz w:val="22"/>
        </w:rPr>
      </w:pPr>
    </w:p>
    <w:p w14:paraId="69DE2234" w14:textId="5A110436" w:rsidR="008543EB" w:rsidRPr="00721B44" w:rsidRDefault="007460EA" w:rsidP="00C733B3">
      <w:pPr>
        <w:pStyle w:val="Default"/>
        <w:rPr>
          <w:sz w:val="22"/>
        </w:rPr>
      </w:pPr>
      <w:r>
        <w:rPr>
          <w:i/>
          <w:sz w:val="22"/>
          <w:lang w:bidi="it-IT"/>
        </w:rPr>
        <w:t>Allattamento</w:t>
      </w:r>
    </w:p>
    <w:p w14:paraId="09D3034E" w14:textId="686B11A9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Non esistono dati sull'escrezione di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nel latte umano. Da uno studio </w:t>
      </w:r>
      <w:r w:rsidR="002053C5">
        <w:rPr>
          <w:sz w:val="22"/>
          <w:lang w:bidi="it-IT"/>
        </w:rPr>
        <w:t xml:space="preserve">eseguito </w:t>
      </w:r>
      <w:r w:rsidRPr="008543EB">
        <w:rPr>
          <w:sz w:val="22"/>
          <w:lang w:bidi="it-IT"/>
        </w:rPr>
        <w:t xml:space="preserve">su cuccioli di ratto allattati da madri a cui era stato somministrato il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si è concluso che il </w:t>
      </w:r>
      <w:proofErr w:type="spellStart"/>
      <w:r w:rsidRPr="008543EB">
        <w:rPr>
          <w:sz w:val="22"/>
          <w:lang w:bidi="it-IT"/>
        </w:rPr>
        <w:t>tapentadolo</w:t>
      </w:r>
      <w:proofErr w:type="spellEnd"/>
      <w:r w:rsidRPr="008543EB">
        <w:rPr>
          <w:sz w:val="22"/>
          <w:lang w:bidi="it-IT"/>
        </w:rPr>
        <w:t xml:space="preserve"> viene escreto nel latte materno (</w:t>
      </w:r>
      <w:r w:rsidR="00516634">
        <w:rPr>
          <w:sz w:val="22"/>
          <w:lang w:bidi="it-IT"/>
        </w:rPr>
        <w:t>vedere</w:t>
      </w:r>
      <w:r w:rsidRPr="008543EB">
        <w:rPr>
          <w:sz w:val="22"/>
          <w:lang w:bidi="it-IT"/>
        </w:rPr>
        <w:t xml:space="preserve"> paragrafo 5.3). Pertanto, non si può escludere un rischio per il bambino che viene allattato.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>non deve essere somministrato durante l'allattamento</w:t>
      </w:r>
      <w:r w:rsidR="002053C5">
        <w:rPr>
          <w:sz w:val="22"/>
          <w:lang w:bidi="it-IT"/>
        </w:rPr>
        <w:t xml:space="preserve"> al seno</w:t>
      </w:r>
      <w:r w:rsidRPr="008543EB">
        <w:rPr>
          <w:sz w:val="22"/>
          <w:lang w:bidi="it-IT"/>
        </w:rPr>
        <w:t xml:space="preserve">. </w:t>
      </w:r>
    </w:p>
    <w:p w14:paraId="3880B1AE" w14:textId="3C2D3914" w:rsidR="005B5E5A" w:rsidRPr="00721B44" w:rsidRDefault="005B5E5A" w:rsidP="00C733B3">
      <w:pPr>
        <w:pStyle w:val="Default"/>
        <w:rPr>
          <w:sz w:val="22"/>
        </w:rPr>
      </w:pPr>
    </w:p>
    <w:p w14:paraId="70525980" w14:textId="77777777" w:rsidR="005B5E5A" w:rsidRPr="00721B44" w:rsidRDefault="005B5E5A" w:rsidP="00C733B3">
      <w:pPr>
        <w:pStyle w:val="Default"/>
        <w:rPr>
          <w:i/>
          <w:sz w:val="22"/>
        </w:rPr>
      </w:pPr>
      <w:bookmarkStart w:id="3" w:name="_Hlk95827875"/>
      <w:r w:rsidRPr="005E1565">
        <w:rPr>
          <w:i/>
          <w:sz w:val="22"/>
          <w:lang w:bidi="it-IT"/>
        </w:rPr>
        <w:t>Fertilità</w:t>
      </w:r>
    </w:p>
    <w:p w14:paraId="2DF37814" w14:textId="7BB40806" w:rsidR="005B5E5A" w:rsidRDefault="005B5E5A" w:rsidP="00C733B3">
      <w:pPr>
        <w:pStyle w:val="Default"/>
        <w:rPr>
          <w:sz w:val="22"/>
          <w:lang w:bidi="it-IT"/>
        </w:rPr>
      </w:pPr>
      <w:r w:rsidRPr="001A0A42">
        <w:rPr>
          <w:sz w:val="22"/>
          <w:lang w:bidi="it-IT"/>
        </w:rPr>
        <w:t xml:space="preserve">Non sono disponibili dati relativi </w:t>
      </w:r>
      <w:r w:rsidR="002053C5">
        <w:rPr>
          <w:sz w:val="22"/>
          <w:lang w:bidi="it-IT"/>
        </w:rPr>
        <w:t>a</w:t>
      </w:r>
      <w:r w:rsidRPr="001A0A42">
        <w:rPr>
          <w:sz w:val="22"/>
          <w:lang w:bidi="it-IT"/>
        </w:rPr>
        <w:t xml:space="preserve">ll'effetto di </w:t>
      </w:r>
      <w:proofErr w:type="spellStart"/>
      <w:r w:rsidR="00931244">
        <w:rPr>
          <w:sz w:val="22"/>
          <w:lang w:bidi="it-IT"/>
        </w:rPr>
        <w:t>Tadomon</w:t>
      </w:r>
      <w:proofErr w:type="spellEnd"/>
      <w:r w:rsidR="0082646A">
        <w:rPr>
          <w:sz w:val="22"/>
          <w:lang w:bidi="it-IT"/>
        </w:rPr>
        <w:t xml:space="preserve"> </w:t>
      </w:r>
      <w:r w:rsidR="002053C5">
        <w:rPr>
          <w:sz w:val="22"/>
          <w:lang w:bidi="it-IT"/>
        </w:rPr>
        <w:t>su</w:t>
      </w:r>
      <w:r w:rsidRPr="001A0A42">
        <w:rPr>
          <w:sz w:val="22"/>
          <w:lang w:bidi="it-IT"/>
        </w:rPr>
        <w:t>lla fertilità</w:t>
      </w:r>
      <w:r w:rsidR="002053C5" w:rsidRPr="002053C5">
        <w:rPr>
          <w:sz w:val="22"/>
          <w:lang w:bidi="it-IT"/>
        </w:rPr>
        <w:t xml:space="preserve"> </w:t>
      </w:r>
      <w:r w:rsidR="00C72D8B">
        <w:rPr>
          <w:sz w:val="22"/>
          <w:lang w:bidi="it-IT"/>
        </w:rPr>
        <w:t>ne</w:t>
      </w:r>
      <w:r w:rsidR="002053C5" w:rsidRPr="001A0A42">
        <w:rPr>
          <w:sz w:val="22"/>
          <w:lang w:bidi="it-IT"/>
        </w:rPr>
        <w:t>ll'uomo</w:t>
      </w:r>
      <w:r w:rsidRPr="001A0A42">
        <w:rPr>
          <w:sz w:val="22"/>
          <w:lang w:bidi="it-IT"/>
        </w:rPr>
        <w:t>. In uno studio sulla fertilità e sullo sviluppo embrionale precoce, non sono stati osservati effetti sui parametri riproduttivi nei ratti maschi o femmine (</w:t>
      </w:r>
      <w:r w:rsidR="00516634">
        <w:rPr>
          <w:sz w:val="22"/>
          <w:lang w:bidi="it-IT"/>
        </w:rPr>
        <w:t>vedere</w:t>
      </w:r>
      <w:r w:rsidRPr="001A0A42">
        <w:rPr>
          <w:sz w:val="22"/>
          <w:lang w:bidi="it-IT"/>
        </w:rPr>
        <w:t xml:space="preserve"> paragrafo 5.3)</w:t>
      </w:r>
      <w:bookmarkEnd w:id="3"/>
      <w:r w:rsidR="00931244">
        <w:rPr>
          <w:sz w:val="22"/>
          <w:lang w:bidi="it-IT"/>
        </w:rPr>
        <w:t>.</w:t>
      </w:r>
    </w:p>
    <w:p w14:paraId="1ED731EA" w14:textId="77777777" w:rsidR="00931244" w:rsidRPr="00721B44" w:rsidRDefault="00931244" w:rsidP="00C733B3">
      <w:pPr>
        <w:pStyle w:val="Default"/>
        <w:rPr>
          <w:sz w:val="22"/>
        </w:rPr>
      </w:pPr>
    </w:p>
    <w:p w14:paraId="7F3275B7" w14:textId="44A4B654" w:rsidR="008543EB" w:rsidRPr="00B1724D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4.7</w:t>
      </w:r>
      <w:r w:rsidR="00931244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Effetti sulla capacità di guidare veicoli e </w:t>
      </w:r>
      <w:r w:rsidR="007031DA" w:rsidRPr="00B1724D">
        <w:rPr>
          <w:rFonts w:ascii="Times New Roman" w:eastAsia="Times New Roman" w:hAnsi="Times New Roman" w:cs="Times New Roman"/>
          <w:b/>
          <w:szCs w:val="20"/>
        </w:rPr>
        <w:t xml:space="preserve">sull’uso di </w:t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macchinari </w:t>
      </w:r>
    </w:p>
    <w:p w14:paraId="3C379FBB" w14:textId="77777777" w:rsidR="00931244" w:rsidRPr="00721B44" w:rsidRDefault="00931244" w:rsidP="00C733B3">
      <w:pPr>
        <w:pStyle w:val="Default"/>
        <w:rPr>
          <w:sz w:val="22"/>
        </w:rPr>
      </w:pPr>
    </w:p>
    <w:p w14:paraId="4DDAD807" w14:textId="1EE8B42E" w:rsidR="008543EB" w:rsidRDefault="00931244" w:rsidP="00C733B3">
      <w:pPr>
        <w:pStyle w:val="Default"/>
        <w:rPr>
          <w:sz w:val="22"/>
          <w:lang w:bidi="it-IT"/>
        </w:rPr>
      </w:pPr>
      <w:proofErr w:type="spellStart"/>
      <w:r>
        <w:rPr>
          <w:sz w:val="22"/>
          <w:lang w:bidi="it-IT"/>
        </w:rPr>
        <w:t>Tadomon</w:t>
      </w:r>
      <w:proofErr w:type="spellEnd"/>
      <w:r w:rsidR="007F7C23">
        <w:rPr>
          <w:sz w:val="22"/>
          <w:lang w:bidi="it-IT"/>
        </w:rPr>
        <w:t xml:space="preserve"> </w:t>
      </w:r>
      <w:r w:rsidR="00B1724D">
        <w:rPr>
          <w:sz w:val="22"/>
          <w:lang w:bidi="it-IT"/>
        </w:rPr>
        <w:t>può avere un’</w:t>
      </w:r>
      <w:r w:rsidR="00F8599A">
        <w:rPr>
          <w:sz w:val="22"/>
          <w:lang w:bidi="it-IT"/>
        </w:rPr>
        <w:t xml:space="preserve">influenza importante sulla capacità di guidare veicoli e usare macchinari </w:t>
      </w:r>
      <w:r w:rsidR="00202DFE">
        <w:rPr>
          <w:sz w:val="22"/>
          <w:lang w:bidi="it-IT"/>
        </w:rPr>
        <w:t>perché</w:t>
      </w:r>
      <w:r w:rsidR="00F8599A">
        <w:rPr>
          <w:sz w:val="22"/>
          <w:lang w:bidi="it-IT"/>
        </w:rPr>
        <w:t xml:space="preserve"> può influenzare negativamente le funzionalità del sistema nervoso centrale (</w:t>
      </w:r>
      <w:r w:rsidR="00516634">
        <w:rPr>
          <w:sz w:val="22"/>
          <w:lang w:bidi="it-IT"/>
        </w:rPr>
        <w:t>vedere</w:t>
      </w:r>
      <w:r w:rsidR="00F8599A">
        <w:rPr>
          <w:sz w:val="22"/>
          <w:lang w:bidi="it-IT"/>
        </w:rPr>
        <w:t xml:space="preserve"> paragrafo 4.8). Ciò deve essere previsto soprattutto all'inizio del trattamento, ad ogni cambiamento di dosaggio così come in relazione a</w:t>
      </w:r>
      <w:r w:rsidR="004A4630">
        <w:rPr>
          <w:sz w:val="22"/>
          <w:lang w:bidi="it-IT"/>
        </w:rPr>
        <w:t>ll’assunzione di</w:t>
      </w:r>
      <w:r w:rsidR="00F8599A">
        <w:rPr>
          <w:sz w:val="22"/>
          <w:lang w:bidi="it-IT"/>
        </w:rPr>
        <w:t xml:space="preserve"> alcol o tranquillanti (</w:t>
      </w:r>
      <w:r w:rsidR="00516634">
        <w:rPr>
          <w:sz w:val="22"/>
          <w:lang w:bidi="it-IT"/>
        </w:rPr>
        <w:t>vedere</w:t>
      </w:r>
      <w:r w:rsidR="00F8599A">
        <w:rPr>
          <w:sz w:val="22"/>
          <w:lang w:bidi="it-IT"/>
        </w:rPr>
        <w:t xml:space="preserve"> paragrafo 4.4). I pazienti devono essere</w:t>
      </w:r>
      <w:r w:rsidR="00BC2D32">
        <w:rPr>
          <w:sz w:val="22"/>
          <w:lang w:bidi="it-IT"/>
        </w:rPr>
        <w:t xml:space="preserve"> informa</w:t>
      </w:r>
      <w:r w:rsidR="00F8599A">
        <w:rPr>
          <w:sz w:val="22"/>
          <w:lang w:bidi="it-IT"/>
        </w:rPr>
        <w:t xml:space="preserve">ti se possono guidare veicoli o usare macchinari. </w:t>
      </w:r>
    </w:p>
    <w:p w14:paraId="3CF79B48" w14:textId="77777777" w:rsidR="00931244" w:rsidRPr="00721B44" w:rsidRDefault="00931244" w:rsidP="00C733B3">
      <w:pPr>
        <w:pStyle w:val="Default"/>
        <w:rPr>
          <w:sz w:val="22"/>
        </w:rPr>
      </w:pPr>
    </w:p>
    <w:p w14:paraId="43A82B45" w14:textId="6054FA9D" w:rsidR="00931244" w:rsidRPr="00B1724D" w:rsidRDefault="008543EB" w:rsidP="00B1724D">
      <w:pPr>
        <w:suppressAutoHyphens/>
        <w:spacing w:after="0" w:line="240" w:lineRule="auto"/>
        <w:ind w:left="567" w:hanging="567"/>
        <w:rPr>
          <w:rFonts w:eastAsia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4.8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Effetti indesiderati</w:t>
      </w:r>
    </w:p>
    <w:p w14:paraId="5F9E69C5" w14:textId="371F31D3" w:rsidR="008543EB" w:rsidRPr="00721B44" w:rsidRDefault="008543EB" w:rsidP="00C733B3">
      <w:pPr>
        <w:pStyle w:val="Default"/>
        <w:rPr>
          <w:sz w:val="22"/>
        </w:rPr>
      </w:pPr>
    </w:p>
    <w:p w14:paraId="5B4C939D" w14:textId="4381B34A" w:rsidR="008543EB" w:rsidRPr="00721B44" w:rsidRDefault="008543EB" w:rsidP="00C733B3">
      <w:pPr>
        <w:pStyle w:val="Default"/>
        <w:rPr>
          <w:sz w:val="22"/>
        </w:rPr>
      </w:pPr>
      <w:r w:rsidRPr="008543EB">
        <w:rPr>
          <w:sz w:val="22"/>
          <w:lang w:bidi="it-IT"/>
        </w:rPr>
        <w:t xml:space="preserve">Le reazioni avverse al farmaco </w:t>
      </w:r>
      <w:r w:rsidR="0052740C">
        <w:rPr>
          <w:sz w:val="22"/>
          <w:lang w:bidi="it-IT"/>
        </w:rPr>
        <w:t>riferite</w:t>
      </w:r>
      <w:r w:rsidR="0052740C" w:rsidRPr="008543EB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>dai pazienti n</w:t>
      </w:r>
      <w:r w:rsidR="0052740C">
        <w:rPr>
          <w:sz w:val="22"/>
          <w:lang w:bidi="it-IT"/>
        </w:rPr>
        <w:t>el corso d</w:t>
      </w:r>
      <w:r w:rsidRPr="008543EB">
        <w:rPr>
          <w:sz w:val="22"/>
          <w:lang w:bidi="it-IT"/>
        </w:rPr>
        <w:t xml:space="preserve">egli studi </w:t>
      </w:r>
      <w:r w:rsidR="0052740C">
        <w:rPr>
          <w:sz w:val="22"/>
          <w:lang w:bidi="it-IT"/>
        </w:rPr>
        <w:t xml:space="preserve">clinici </w:t>
      </w:r>
      <w:r w:rsidRPr="008543EB">
        <w:rPr>
          <w:sz w:val="22"/>
          <w:lang w:bidi="it-IT"/>
        </w:rPr>
        <w:t xml:space="preserve">controllati con placebo eseguiti con </w:t>
      </w:r>
      <w:proofErr w:type="spellStart"/>
      <w:r w:rsidR="0052740C">
        <w:rPr>
          <w:sz w:val="22"/>
          <w:lang w:bidi="it-IT"/>
        </w:rPr>
        <w:t>t</w:t>
      </w:r>
      <w:r w:rsidR="00B56F92">
        <w:rPr>
          <w:sz w:val="22"/>
          <w:lang w:bidi="it-IT"/>
        </w:rPr>
        <w:t>apentadolo</w:t>
      </w:r>
      <w:proofErr w:type="spellEnd"/>
      <w:r w:rsidR="0052740C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sono state prevalentemente di </w:t>
      </w:r>
      <w:r w:rsidR="001D69A8">
        <w:rPr>
          <w:sz w:val="22"/>
          <w:lang w:bidi="it-IT"/>
        </w:rPr>
        <w:t>entità</w:t>
      </w:r>
      <w:r w:rsidR="001D69A8" w:rsidRPr="008543EB">
        <w:rPr>
          <w:sz w:val="22"/>
          <w:lang w:bidi="it-IT"/>
        </w:rPr>
        <w:t xml:space="preserve"> </w:t>
      </w:r>
      <w:r w:rsidRPr="008543EB">
        <w:rPr>
          <w:sz w:val="22"/>
          <w:lang w:bidi="it-IT"/>
        </w:rPr>
        <w:t xml:space="preserve">lieve e moderata. </w:t>
      </w:r>
      <w:r w:rsidR="00B60E4D">
        <w:rPr>
          <w:sz w:val="22"/>
          <w:lang w:bidi="it-IT"/>
        </w:rPr>
        <w:t>Gli effetti indesiderati</w:t>
      </w:r>
      <w:r w:rsidRPr="008543EB">
        <w:rPr>
          <w:sz w:val="22"/>
          <w:lang w:bidi="it-IT"/>
        </w:rPr>
        <w:t xml:space="preserve"> più frequenti sono stat</w:t>
      </w:r>
      <w:r w:rsidR="005208F2">
        <w:rPr>
          <w:sz w:val="22"/>
          <w:lang w:bidi="it-IT"/>
        </w:rPr>
        <w:t>i</w:t>
      </w:r>
      <w:r w:rsidRPr="008543EB">
        <w:rPr>
          <w:sz w:val="22"/>
          <w:lang w:bidi="it-IT"/>
        </w:rPr>
        <w:t xml:space="preserve"> riscontrat</w:t>
      </w:r>
      <w:r w:rsidR="00B60E4D">
        <w:rPr>
          <w:sz w:val="22"/>
          <w:lang w:bidi="it-IT"/>
        </w:rPr>
        <w:t>i</w:t>
      </w:r>
      <w:r w:rsidRPr="008543EB">
        <w:rPr>
          <w:sz w:val="22"/>
          <w:lang w:bidi="it-IT"/>
        </w:rPr>
        <w:t xml:space="preserve"> a livello gastrointestinale e </w:t>
      </w:r>
      <w:r w:rsidR="008456A4">
        <w:rPr>
          <w:sz w:val="22"/>
          <w:lang w:bidi="it-IT"/>
        </w:rPr>
        <w:t>de</w:t>
      </w:r>
      <w:r w:rsidRPr="008543EB">
        <w:rPr>
          <w:sz w:val="22"/>
          <w:lang w:bidi="it-IT"/>
        </w:rPr>
        <w:t>l sistema nervoso centrale (nausea, vertigini, sti</w:t>
      </w:r>
      <w:r w:rsidR="008456A4">
        <w:rPr>
          <w:sz w:val="22"/>
          <w:lang w:bidi="it-IT"/>
        </w:rPr>
        <w:t>psi</w:t>
      </w:r>
      <w:r w:rsidRPr="008543EB">
        <w:rPr>
          <w:sz w:val="22"/>
          <w:lang w:bidi="it-IT"/>
        </w:rPr>
        <w:t xml:space="preserve">, </w:t>
      </w:r>
      <w:r w:rsidR="008456A4">
        <w:rPr>
          <w:sz w:val="22"/>
          <w:lang w:bidi="it-IT"/>
        </w:rPr>
        <w:t>cefalea</w:t>
      </w:r>
      <w:r w:rsidRPr="008543EB">
        <w:rPr>
          <w:sz w:val="22"/>
          <w:lang w:bidi="it-IT"/>
        </w:rPr>
        <w:t xml:space="preserve"> e sonnolenza). </w:t>
      </w:r>
    </w:p>
    <w:p w14:paraId="26388E71" w14:textId="62BD5991" w:rsidR="00F21620" w:rsidRPr="00721B44" w:rsidRDefault="00F21620" w:rsidP="00C733B3">
      <w:pPr>
        <w:pStyle w:val="Default"/>
        <w:rPr>
          <w:sz w:val="22"/>
        </w:rPr>
      </w:pPr>
    </w:p>
    <w:p w14:paraId="15220BAF" w14:textId="36EAA805" w:rsidR="00F21620" w:rsidRPr="00721B44" w:rsidRDefault="00F21620" w:rsidP="00C733B3">
      <w:pPr>
        <w:pStyle w:val="Default"/>
        <w:rPr>
          <w:sz w:val="22"/>
        </w:rPr>
      </w:pPr>
      <w:r w:rsidRPr="00F21620">
        <w:rPr>
          <w:sz w:val="22"/>
          <w:lang w:bidi="it-IT"/>
        </w:rPr>
        <w:t xml:space="preserve">La tabella sottostante </w:t>
      </w:r>
      <w:r w:rsidR="000D0BFF">
        <w:rPr>
          <w:sz w:val="22"/>
          <w:lang w:bidi="it-IT"/>
        </w:rPr>
        <w:t>riporta</w:t>
      </w:r>
      <w:r w:rsidR="000D0BFF" w:rsidRPr="00F21620">
        <w:rPr>
          <w:sz w:val="22"/>
          <w:lang w:bidi="it-IT"/>
        </w:rPr>
        <w:t xml:space="preserve"> </w:t>
      </w:r>
      <w:r w:rsidRPr="00F21620">
        <w:rPr>
          <w:sz w:val="22"/>
          <w:lang w:bidi="it-IT"/>
        </w:rPr>
        <w:t xml:space="preserve">le reazioni avverse al farmaco </w:t>
      </w:r>
      <w:r w:rsidR="000D0BFF">
        <w:rPr>
          <w:sz w:val="22"/>
          <w:lang w:bidi="it-IT"/>
        </w:rPr>
        <w:t>identificate</w:t>
      </w:r>
      <w:r w:rsidRPr="00F21620">
        <w:rPr>
          <w:sz w:val="22"/>
          <w:lang w:bidi="it-IT"/>
        </w:rPr>
        <w:t xml:space="preserve"> n</w:t>
      </w:r>
      <w:r w:rsidR="000D0BFF">
        <w:rPr>
          <w:sz w:val="22"/>
          <w:lang w:bidi="it-IT"/>
        </w:rPr>
        <w:t>el corso d</w:t>
      </w:r>
      <w:r w:rsidRPr="00F21620">
        <w:rPr>
          <w:sz w:val="22"/>
          <w:lang w:bidi="it-IT"/>
        </w:rPr>
        <w:t xml:space="preserve">egli studi clinici condotti con prodotti a rilascio prolungato di </w:t>
      </w:r>
      <w:proofErr w:type="spellStart"/>
      <w:r w:rsidRPr="00F21620">
        <w:rPr>
          <w:sz w:val="22"/>
          <w:lang w:bidi="it-IT"/>
        </w:rPr>
        <w:t>tapentadolo</w:t>
      </w:r>
      <w:proofErr w:type="spellEnd"/>
      <w:r w:rsidRPr="00F21620">
        <w:rPr>
          <w:sz w:val="22"/>
          <w:lang w:bidi="it-IT"/>
        </w:rPr>
        <w:t xml:space="preserve">. </w:t>
      </w:r>
      <w:r w:rsidR="0020415E">
        <w:rPr>
          <w:sz w:val="22"/>
          <w:lang w:bidi="it-IT"/>
        </w:rPr>
        <w:t>S</w:t>
      </w:r>
      <w:r w:rsidRPr="00F21620">
        <w:rPr>
          <w:sz w:val="22"/>
          <w:lang w:bidi="it-IT"/>
        </w:rPr>
        <w:t>ono elencate per classe e frequenza. Le frequenze sono definite come molto comune (≥1/10); comune (≥1/100, &lt;1/10); non comune (≥1/1.000, &lt;1/100); rara (≥1/10.000, &lt;1/1.000); molto rara (&lt;1/10.000), non nota (</w:t>
      </w:r>
      <w:r w:rsidR="0020415E">
        <w:rPr>
          <w:sz w:val="22"/>
          <w:lang w:bidi="it-IT"/>
        </w:rPr>
        <w:t xml:space="preserve">la frequenza </w:t>
      </w:r>
      <w:r w:rsidRPr="00F21620">
        <w:rPr>
          <w:sz w:val="22"/>
          <w:lang w:bidi="it-IT"/>
        </w:rPr>
        <w:t xml:space="preserve">non può essere </w:t>
      </w:r>
      <w:r w:rsidR="0020415E">
        <w:rPr>
          <w:sz w:val="22"/>
          <w:lang w:bidi="it-IT"/>
        </w:rPr>
        <w:t>definita</w:t>
      </w:r>
      <w:r w:rsidR="0020415E" w:rsidRPr="00F21620">
        <w:rPr>
          <w:sz w:val="22"/>
          <w:lang w:bidi="it-IT"/>
        </w:rPr>
        <w:t xml:space="preserve"> </w:t>
      </w:r>
      <w:r w:rsidR="0020415E">
        <w:rPr>
          <w:sz w:val="22"/>
          <w:lang w:bidi="it-IT"/>
        </w:rPr>
        <w:t xml:space="preserve">sulla base </w:t>
      </w:r>
      <w:r w:rsidRPr="00F21620">
        <w:rPr>
          <w:sz w:val="22"/>
          <w:lang w:bidi="it-IT"/>
        </w:rPr>
        <w:t>d</w:t>
      </w:r>
      <w:r w:rsidR="0020415E">
        <w:rPr>
          <w:sz w:val="22"/>
          <w:lang w:bidi="it-IT"/>
        </w:rPr>
        <w:t>e</w:t>
      </w:r>
      <w:r w:rsidRPr="00F21620">
        <w:rPr>
          <w:sz w:val="22"/>
          <w:lang w:bidi="it-IT"/>
        </w:rPr>
        <w:t>i dati disponibili).</w:t>
      </w:r>
    </w:p>
    <w:p w14:paraId="01AB3717" w14:textId="77777777" w:rsidR="003029E9" w:rsidRPr="00721B44" w:rsidRDefault="003029E9" w:rsidP="00C733B3">
      <w:pPr>
        <w:pStyle w:val="Default"/>
        <w:rPr>
          <w:sz w:val="22"/>
        </w:rPr>
      </w:pPr>
    </w:p>
    <w:p w14:paraId="111AD455" w14:textId="77777777" w:rsidR="00F21620" w:rsidRPr="00721B44" w:rsidRDefault="00F21620" w:rsidP="00C733B3">
      <w:pPr>
        <w:pStyle w:val="Default"/>
        <w:rPr>
          <w:sz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1424"/>
        <w:gridCol w:w="1545"/>
        <w:gridCol w:w="1750"/>
        <w:gridCol w:w="1463"/>
        <w:gridCol w:w="1060"/>
      </w:tblGrid>
      <w:tr w:rsidR="003B0CC6" w:rsidRPr="0076150F" w14:paraId="65579D58" w14:textId="4D89C2CD" w:rsidTr="00721B44">
        <w:trPr>
          <w:jc w:val="center"/>
        </w:trPr>
        <w:tc>
          <w:tcPr>
            <w:tcW w:w="8720" w:type="dxa"/>
            <w:gridSpan w:val="6"/>
          </w:tcPr>
          <w:p w14:paraId="3902FFE0" w14:textId="09DD1213" w:rsidR="003B0CC6" w:rsidRPr="0076150F" w:rsidRDefault="003B0CC6" w:rsidP="00C733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21B44">
              <w:rPr>
                <w:rFonts w:ascii="Times New Roman" w:hAnsi="Times New Roman"/>
                <w:b/>
              </w:rPr>
              <w:t>REAZIONI AVVERSE AI FARMACI</w:t>
            </w:r>
          </w:p>
        </w:tc>
      </w:tr>
      <w:tr w:rsidR="003B0CC6" w:rsidRPr="0076150F" w14:paraId="37E186CC" w14:textId="431F0034" w:rsidTr="00721B44">
        <w:trPr>
          <w:jc w:val="center"/>
        </w:trPr>
        <w:tc>
          <w:tcPr>
            <w:tcW w:w="1640" w:type="dxa"/>
            <w:vMerge w:val="restart"/>
          </w:tcPr>
          <w:p w14:paraId="6D3C2084" w14:textId="633CA6FA" w:rsidR="003B0CC6" w:rsidRPr="00721B44" w:rsidRDefault="003B0CC6" w:rsidP="00B1724D">
            <w:pPr>
              <w:rPr>
                <w:rFonts w:ascii="Times New Roman" w:hAnsi="Times New Roman"/>
                <w:b/>
              </w:rPr>
            </w:pPr>
            <w:r w:rsidRPr="004C3DAE">
              <w:rPr>
                <w:rFonts w:ascii="Times New Roman" w:hAnsi="Times New Roman" w:cs="Times New Roman"/>
                <w:b/>
                <w:lang w:bidi="it-IT"/>
              </w:rPr>
              <w:t>Class</w:t>
            </w:r>
            <w:r w:rsidR="007B084A">
              <w:rPr>
                <w:rFonts w:ascii="Times New Roman" w:hAnsi="Times New Roman" w:cs="Times New Roman"/>
                <w:b/>
                <w:lang w:bidi="it-IT"/>
              </w:rPr>
              <w:t xml:space="preserve">ificazione per </w:t>
            </w:r>
            <w:r w:rsidR="00187A96">
              <w:rPr>
                <w:rFonts w:ascii="Times New Roman" w:hAnsi="Times New Roman" w:cs="Times New Roman"/>
                <w:b/>
                <w:lang w:bidi="it-IT"/>
              </w:rPr>
              <w:t>sistem</w:t>
            </w:r>
            <w:r w:rsidR="007B084A">
              <w:rPr>
                <w:rFonts w:ascii="Times New Roman" w:hAnsi="Times New Roman" w:cs="Times New Roman"/>
                <w:b/>
                <w:lang w:bidi="it-IT"/>
              </w:rPr>
              <w:t>i e organi</w:t>
            </w:r>
          </w:p>
        </w:tc>
        <w:tc>
          <w:tcPr>
            <w:tcW w:w="7080" w:type="dxa"/>
            <w:gridSpan w:val="5"/>
          </w:tcPr>
          <w:p w14:paraId="17579DD7" w14:textId="75A6F6BD" w:rsidR="003B0CC6" w:rsidRPr="0076150F" w:rsidRDefault="003B0CC6" w:rsidP="00C733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21B44">
              <w:rPr>
                <w:rFonts w:ascii="Times New Roman" w:hAnsi="Times New Roman"/>
                <w:b/>
              </w:rPr>
              <w:t>Frequenza</w:t>
            </w:r>
          </w:p>
        </w:tc>
      </w:tr>
      <w:tr w:rsidR="003E1471" w:rsidRPr="00F03990" w14:paraId="0CA365F6" w14:textId="174EF782" w:rsidTr="00721B44">
        <w:trPr>
          <w:jc w:val="center"/>
        </w:trPr>
        <w:tc>
          <w:tcPr>
            <w:tcW w:w="1640" w:type="dxa"/>
            <w:vMerge/>
          </w:tcPr>
          <w:p w14:paraId="61FD21F7" w14:textId="77777777" w:rsidR="003B0CC6" w:rsidRPr="00F03990" w:rsidRDefault="003B0CC6" w:rsidP="00C733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451" w:type="dxa"/>
          </w:tcPr>
          <w:p w14:paraId="470CE31C" w14:textId="516A517E" w:rsidR="003B0CC6" w:rsidRPr="0076150F" w:rsidRDefault="003B0CC6" w:rsidP="00C733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21B44">
              <w:rPr>
                <w:rFonts w:ascii="Times New Roman" w:hAnsi="Times New Roman"/>
                <w:b/>
              </w:rPr>
              <w:t>Molto comune</w:t>
            </w:r>
          </w:p>
        </w:tc>
        <w:tc>
          <w:tcPr>
            <w:tcW w:w="1532" w:type="dxa"/>
          </w:tcPr>
          <w:p w14:paraId="547195F8" w14:textId="6986C4C5" w:rsidR="003B0CC6" w:rsidRPr="0076150F" w:rsidRDefault="003B0CC6" w:rsidP="00C733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21B44">
              <w:rPr>
                <w:rFonts w:ascii="Times New Roman" w:hAnsi="Times New Roman"/>
                <w:b/>
              </w:rPr>
              <w:t>Comune</w:t>
            </w:r>
          </w:p>
        </w:tc>
        <w:tc>
          <w:tcPr>
            <w:tcW w:w="1753" w:type="dxa"/>
          </w:tcPr>
          <w:p w14:paraId="24931B0B" w14:textId="57506CF1" w:rsidR="003B0CC6" w:rsidRPr="0076150F" w:rsidRDefault="003B0CC6" w:rsidP="00C733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21B44">
              <w:rPr>
                <w:rFonts w:ascii="Times New Roman" w:hAnsi="Times New Roman"/>
                <w:b/>
              </w:rPr>
              <w:t>Non comune</w:t>
            </w:r>
          </w:p>
        </w:tc>
        <w:tc>
          <w:tcPr>
            <w:tcW w:w="1461" w:type="dxa"/>
          </w:tcPr>
          <w:p w14:paraId="3A814791" w14:textId="2B276342" w:rsidR="003B0CC6" w:rsidRPr="0076150F" w:rsidRDefault="003B0CC6" w:rsidP="00C733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21B44">
              <w:rPr>
                <w:rFonts w:ascii="Times New Roman" w:hAnsi="Times New Roman"/>
                <w:b/>
              </w:rPr>
              <w:t>Rara</w:t>
            </w:r>
          </w:p>
        </w:tc>
        <w:tc>
          <w:tcPr>
            <w:tcW w:w="883" w:type="dxa"/>
          </w:tcPr>
          <w:p w14:paraId="4B79E4C2" w14:textId="48570A91" w:rsidR="003B0CC6" w:rsidRPr="0076150F" w:rsidRDefault="003B0CC6" w:rsidP="00C733B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21B44">
              <w:rPr>
                <w:rFonts w:ascii="Times New Roman" w:hAnsi="Times New Roman"/>
                <w:b/>
              </w:rPr>
              <w:t>Non nota</w:t>
            </w:r>
          </w:p>
        </w:tc>
      </w:tr>
      <w:tr w:rsidR="003E1471" w:rsidRPr="00F03990" w14:paraId="513B79B2" w14:textId="1E49B89A" w:rsidTr="00721B44">
        <w:trPr>
          <w:jc w:val="center"/>
        </w:trPr>
        <w:tc>
          <w:tcPr>
            <w:tcW w:w="1640" w:type="dxa"/>
          </w:tcPr>
          <w:p w14:paraId="738B5180" w14:textId="42C74EDC" w:rsidR="003B0CC6" w:rsidRPr="00B1724D" w:rsidRDefault="003B0CC6" w:rsidP="00B1724D">
            <w:pPr>
              <w:pStyle w:val="Default"/>
              <w:rPr>
                <w:i/>
                <w:lang w:val="en-GB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del sistema immunitario </w:t>
            </w:r>
          </w:p>
        </w:tc>
        <w:tc>
          <w:tcPr>
            <w:tcW w:w="1451" w:type="dxa"/>
          </w:tcPr>
          <w:p w14:paraId="42C2921D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32" w:type="dxa"/>
          </w:tcPr>
          <w:p w14:paraId="3D6C2AB1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</w:tcPr>
          <w:p w14:paraId="704EBB12" w14:textId="28DEA0E9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Ipersensibilità a</w:t>
            </w:r>
            <w:r w:rsidR="00187A96" w:rsidRPr="00B1724D">
              <w:rPr>
                <w:sz w:val="22"/>
                <w:lang w:bidi="it-IT"/>
              </w:rPr>
              <w:t>l</w:t>
            </w:r>
            <w:r w:rsidRPr="00B1724D">
              <w:rPr>
                <w:sz w:val="22"/>
                <w:lang w:bidi="it-IT"/>
              </w:rPr>
              <w:t xml:space="preserve"> farmac</w:t>
            </w:r>
            <w:r w:rsidR="00187A96" w:rsidRPr="00B1724D">
              <w:rPr>
                <w:sz w:val="22"/>
                <w:lang w:bidi="it-IT"/>
              </w:rPr>
              <w:t>o</w:t>
            </w:r>
            <w:r w:rsidRPr="00B1724D">
              <w:rPr>
                <w:sz w:val="22"/>
                <w:lang w:bidi="it-IT"/>
              </w:rPr>
              <w:t>*</w:t>
            </w:r>
          </w:p>
          <w:p w14:paraId="79AE9F11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61" w:type="dxa"/>
          </w:tcPr>
          <w:p w14:paraId="3B19360E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0D3BA26C" w14:textId="77777777" w:rsidR="003B0CC6" w:rsidRPr="00721B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E1471" w:rsidRPr="00F03990" w14:paraId="1FB15FB7" w14:textId="43D2BEBC" w:rsidTr="00721B44">
        <w:trPr>
          <w:jc w:val="center"/>
        </w:trPr>
        <w:tc>
          <w:tcPr>
            <w:tcW w:w="1640" w:type="dxa"/>
          </w:tcPr>
          <w:p w14:paraId="71B88DDC" w14:textId="73291447" w:rsidR="003B0CC6" w:rsidRPr="00B1724D" w:rsidRDefault="003B0CC6" w:rsidP="00B1724D">
            <w:pPr>
              <w:pStyle w:val="Default"/>
              <w:rPr>
                <w:i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del metabolismo e della nutrizione </w:t>
            </w:r>
          </w:p>
        </w:tc>
        <w:tc>
          <w:tcPr>
            <w:tcW w:w="1451" w:type="dxa"/>
          </w:tcPr>
          <w:p w14:paraId="502715DA" w14:textId="77777777" w:rsidR="003B0CC6" w:rsidRPr="00931244" w:rsidRDefault="003B0CC6" w:rsidP="00C733B3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0360CD79" w14:textId="06355391" w:rsidR="003B0CC6" w:rsidRPr="00B1724D" w:rsidRDefault="008109FB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 xml:space="preserve">Calo </w:t>
            </w:r>
            <w:r w:rsidR="003B0CC6" w:rsidRPr="00B1724D">
              <w:rPr>
                <w:sz w:val="22"/>
                <w:lang w:bidi="it-IT"/>
              </w:rPr>
              <w:t>d</w:t>
            </w:r>
            <w:r w:rsidRPr="00B1724D">
              <w:rPr>
                <w:sz w:val="22"/>
                <w:lang w:bidi="it-IT"/>
              </w:rPr>
              <w:t>ell’</w:t>
            </w:r>
            <w:r w:rsidR="003B0CC6" w:rsidRPr="00B1724D">
              <w:rPr>
                <w:sz w:val="22"/>
                <w:lang w:bidi="it-IT"/>
              </w:rPr>
              <w:t>appetito</w:t>
            </w:r>
          </w:p>
          <w:p w14:paraId="067E1973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</w:tcPr>
          <w:p w14:paraId="29FD7EB0" w14:textId="4CE9F875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Perdita di peso</w:t>
            </w:r>
          </w:p>
          <w:p w14:paraId="2EA30EAB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61" w:type="dxa"/>
          </w:tcPr>
          <w:p w14:paraId="4076914F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06EC004D" w14:textId="77777777" w:rsidR="003B0CC6" w:rsidRPr="00721B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E1471" w:rsidRPr="00F03990" w14:paraId="0595BE69" w14:textId="26D440D2" w:rsidTr="00721B44">
        <w:trPr>
          <w:jc w:val="center"/>
        </w:trPr>
        <w:tc>
          <w:tcPr>
            <w:tcW w:w="1640" w:type="dxa"/>
          </w:tcPr>
          <w:p w14:paraId="774D101F" w14:textId="77777777" w:rsidR="003B0CC6" w:rsidRPr="00B1724D" w:rsidRDefault="003B0CC6" w:rsidP="00C733B3">
            <w:pPr>
              <w:pStyle w:val="Default"/>
              <w:rPr>
                <w:i/>
                <w:sz w:val="22"/>
                <w:szCs w:val="20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</w:t>
            </w:r>
          </w:p>
          <w:p w14:paraId="740AA0FE" w14:textId="0DD03992" w:rsidR="003B0CC6" w:rsidRPr="00B1724D" w:rsidRDefault="003B0CC6" w:rsidP="00C733B3">
            <w:pPr>
              <w:pStyle w:val="Default"/>
              <w:rPr>
                <w:b/>
                <w:bCs/>
                <w:i/>
                <w:sz w:val="22"/>
                <w:szCs w:val="20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psichiatrici </w:t>
            </w:r>
          </w:p>
        </w:tc>
        <w:tc>
          <w:tcPr>
            <w:tcW w:w="1451" w:type="dxa"/>
          </w:tcPr>
          <w:p w14:paraId="56CF31AC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32" w:type="dxa"/>
          </w:tcPr>
          <w:p w14:paraId="30F54D3D" w14:textId="46ED7240" w:rsidR="003B0CC6" w:rsidRPr="00B1724D" w:rsidRDefault="003B0CC6" w:rsidP="00C733B3">
            <w:pPr>
              <w:pStyle w:val="Default"/>
              <w:rPr>
                <w:sz w:val="22"/>
              </w:rPr>
            </w:pPr>
            <w:r w:rsidRPr="00B1724D">
              <w:rPr>
                <w:sz w:val="22"/>
                <w:lang w:bidi="it-IT"/>
              </w:rPr>
              <w:t>Ansia, Depressione, Disturbo del sonno, Nervosismo, Irrequietezza</w:t>
            </w:r>
          </w:p>
          <w:p w14:paraId="65B187FF" w14:textId="77777777" w:rsidR="003B0CC6" w:rsidRPr="00B1724D" w:rsidRDefault="003B0CC6" w:rsidP="00C733B3">
            <w:pPr>
              <w:pStyle w:val="Default"/>
              <w:rPr>
                <w:sz w:val="22"/>
              </w:rPr>
            </w:pPr>
          </w:p>
        </w:tc>
        <w:tc>
          <w:tcPr>
            <w:tcW w:w="1753" w:type="dxa"/>
          </w:tcPr>
          <w:p w14:paraId="66BB2CC8" w14:textId="09FBD724" w:rsidR="003B0CC6" w:rsidRPr="005107A0" w:rsidRDefault="003B0CC6" w:rsidP="00B1724D">
            <w:pPr>
              <w:pStyle w:val="Default"/>
            </w:pPr>
            <w:r w:rsidRPr="00B1724D">
              <w:rPr>
                <w:sz w:val="22"/>
                <w:lang w:bidi="it-IT"/>
              </w:rPr>
              <w:t>Disorientamento, Stato confusionale, Agitazione, Disturbi della percezione, Sogni anomali, Euforia</w:t>
            </w:r>
          </w:p>
        </w:tc>
        <w:tc>
          <w:tcPr>
            <w:tcW w:w="1461" w:type="dxa"/>
          </w:tcPr>
          <w:p w14:paraId="56A589DA" w14:textId="538FE7C6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Dipendenza da farmaci, Disturbi del pensiero</w:t>
            </w:r>
          </w:p>
          <w:p w14:paraId="35B1EB1E" w14:textId="77777777" w:rsidR="003B0CC6" w:rsidRPr="00931244" w:rsidRDefault="003B0CC6" w:rsidP="00C733B3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37C790A1" w14:textId="08142F72" w:rsidR="003B0CC6" w:rsidRPr="0076150F" w:rsidRDefault="003B0CC6" w:rsidP="00C733B3">
            <w:pPr>
              <w:pStyle w:val="Default"/>
              <w:rPr>
                <w:sz w:val="20"/>
                <w:szCs w:val="20"/>
              </w:rPr>
            </w:pPr>
            <w:r w:rsidRPr="00B1724D">
              <w:rPr>
                <w:sz w:val="22"/>
                <w:lang w:bidi="it-IT"/>
              </w:rPr>
              <w:t>Delirio**</w:t>
            </w:r>
          </w:p>
        </w:tc>
      </w:tr>
      <w:tr w:rsidR="003E1471" w:rsidRPr="00F03990" w14:paraId="68CF6F59" w14:textId="7E04503E" w:rsidTr="00721B44">
        <w:trPr>
          <w:jc w:val="center"/>
        </w:trPr>
        <w:tc>
          <w:tcPr>
            <w:tcW w:w="1640" w:type="dxa"/>
          </w:tcPr>
          <w:p w14:paraId="459F61BB" w14:textId="77777777" w:rsidR="003B0CC6" w:rsidRPr="00B1724D" w:rsidRDefault="003B0CC6" w:rsidP="00C733B3">
            <w:pPr>
              <w:pStyle w:val="Default"/>
              <w:rPr>
                <w:i/>
                <w:sz w:val="22"/>
                <w:szCs w:val="20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del sistema nervoso </w:t>
            </w:r>
          </w:p>
          <w:p w14:paraId="72B1A50D" w14:textId="77777777" w:rsidR="003B0CC6" w:rsidRPr="00B1724D" w:rsidRDefault="003B0CC6" w:rsidP="00C733B3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1451" w:type="dxa"/>
          </w:tcPr>
          <w:p w14:paraId="755B3EF5" w14:textId="52BB896B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Vertigini, Sonnolenza, Mal di testa</w:t>
            </w:r>
          </w:p>
          <w:p w14:paraId="1931C999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  <w:p w14:paraId="2415DF0F" w14:textId="026FE1B0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32" w:type="dxa"/>
          </w:tcPr>
          <w:p w14:paraId="180030E1" w14:textId="7F93BCB0" w:rsidR="003B0CC6" w:rsidRPr="00B1724D" w:rsidRDefault="003B0CC6" w:rsidP="00C733B3">
            <w:pPr>
              <w:pStyle w:val="Default"/>
              <w:rPr>
                <w:sz w:val="22"/>
              </w:rPr>
            </w:pPr>
            <w:r w:rsidRPr="00B1724D">
              <w:rPr>
                <w:sz w:val="22"/>
                <w:lang w:bidi="it-IT"/>
              </w:rPr>
              <w:t>Disturbo dell'attenzione, Tremore, Contrazioni muscolari involontarie</w:t>
            </w:r>
          </w:p>
          <w:p w14:paraId="761AF553" w14:textId="77777777" w:rsidR="003B0CC6" w:rsidRPr="00B1724D" w:rsidRDefault="003B0CC6" w:rsidP="00C733B3">
            <w:pPr>
              <w:pStyle w:val="Default"/>
              <w:rPr>
                <w:sz w:val="22"/>
              </w:rPr>
            </w:pPr>
          </w:p>
        </w:tc>
        <w:tc>
          <w:tcPr>
            <w:tcW w:w="1753" w:type="dxa"/>
          </w:tcPr>
          <w:p w14:paraId="034257CF" w14:textId="1D79308F" w:rsidR="003B0CC6" w:rsidRPr="005107A0" w:rsidRDefault="003B0CC6" w:rsidP="00B1724D">
            <w:pPr>
              <w:pStyle w:val="Default"/>
            </w:pPr>
            <w:r w:rsidRPr="00B1724D">
              <w:rPr>
                <w:sz w:val="22"/>
                <w:lang w:bidi="it-IT"/>
              </w:rPr>
              <w:t>Livello di coscienza ridotto, Perdita di memoria, Disturbi mentali, Sincope, Sedazione, Disturbo dell'equilibrio, Disartria, Ipoestesia, Parestesia</w:t>
            </w:r>
          </w:p>
        </w:tc>
        <w:tc>
          <w:tcPr>
            <w:tcW w:w="1461" w:type="dxa"/>
          </w:tcPr>
          <w:p w14:paraId="7CC76BE7" w14:textId="4F626A4F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 xml:space="preserve">Convulsioni, </w:t>
            </w:r>
            <w:proofErr w:type="spellStart"/>
            <w:r w:rsidRPr="00B1724D">
              <w:rPr>
                <w:sz w:val="22"/>
                <w:lang w:bidi="it-IT"/>
              </w:rPr>
              <w:t>Presincope</w:t>
            </w:r>
            <w:proofErr w:type="spellEnd"/>
            <w:r w:rsidRPr="00B1724D">
              <w:rPr>
                <w:sz w:val="22"/>
                <w:lang w:bidi="it-IT"/>
              </w:rPr>
              <w:t>, Disturbi della coordinazione</w:t>
            </w:r>
          </w:p>
          <w:p w14:paraId="232F4DFC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06875FF9" w14:textId="77777777" w:rsidR="003B0CC6" w:rsidRPr="0076150F" w:rsidRDefault="003B0CC6" w:rsidP="00C733B3">
            <w:pPr>
              <w:pStyle w:val="Default"/>
              <w:rPr>
                <w:sz w:val="20"/>
                <w:szCs w:val="20"/>
              </w:rPr>
            </w:pPr>
          </w:p>
        </w:tc>
      </w:tr>
      <w:tr w:rsidR="003E1471" w:rsidRPr="00F03990" w14:paraId="706BA3FE" w14:textId="12799A44" w:rsidTr="00721B44">
        <w:trPr>
          <w:jc w:val="center"/>
        </w:trPr>
        <w:tc>
          <w:tcPr>
            <w:tcW w:w="1640" w:type="dxa"/>
          </w:tcPr>
          <w:p w14:paraId="78EFA004" w14:textId="4D48A56E" w:rsidR="003B0CC6" w:rsidRPr="00B1724D" w:rsidRDefault="003B0CC6" w:rsidP="00B1724D">
            <w:pPr>
              <w:pStyle w:val="Default"/>
              <w:rPr>
                <w:i/>
                <w:lang w:val="en-GB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agli occhi </w:t>
            </w:r>
          </w:p>
        </w:tc>
        <w:tc>
          <w:tcPr>
            <w:tcW w:w="1451" w:type="dxa"/>
          </w:tcPr>
          <w:p w14:paraId="1BDAAEDE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32" w:type="dxa"/>
          </w:tcPr>
          <w:p w14:paraId="2F734667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</w:tcPr>
          <w:p w14:paraId="10D35718" w14:textId="0D952AAD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Disturbi visivi</w:t>
            </w:r>
          </w:p>
          <w:p w14:paraId="7460A964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61" w:type="dxa"/>
          </w:tcPr>
          <w:p w14:paraId="3B4F6893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5E1FEF21" w14:textId="77777777" w:rsidR="003B0CC6" w:rsidRPr="00721B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E1471" w:rsidRPr="00F03990" w14:paraId="50AEB4B1" w14:textId="0A25A952" w:rsidTr="00721B44">
        <w:trPr>
          <w:jc w:val="center"/>
        </w:trPr>
        <w:tc>
          <w:tcPr>
            <w:tcW w:w="1640" w:type="dxa"/>
          </w:tcPr>
          <w:p w14:paraId="3F5D0820" w14:textId="77777777" w:rsidR="003B0CC6" w:rsidRPr="00B1724D" w:rsidRDefault="003B0CC6" w:rsidP="00C733B3">
            <w:pPr>
              <w:pStyle w:val="Default"/>
              <w:rPr>
                <w:i/>
                <w:sz w:val="22"/>
                <w:szCs w:val="20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cardiaci </w:t>
            </w:r>
          </w:p>
          <w:p w14:paraId="6C7F4A3F" w14:textId="77777777" w:rsidR="003B0CC6" w:rsidRPr="00B1724D" w:rsidRDefault="003B0CC6" w:rsidP="00C733B3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1451" w:type="dxa"/>
          </w:tcPr>
          <w:p w14:paraId="6A504034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32" w:type="dxa"/>
          </w:tcPr>
          <w:p w14:paraId="23BC0BB2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</w:tcPr>
          <w:p w14:paraId="60CBA306" w14:textId="77777777" w:rsidR="007460EA" w:rsidRPr="00B1724D" w:rsidRDefault="003B0CC6" w:rsidP="00C733B3">
            <w:pPr>
              <w:pStyle w:val="Default"/>
              <w:rPr>
                <w:sz w:val="22"/>
                <w:szCs w:val="20"/>
                <w:lang w:val="en-GB"/>
              </w:rPr>
            </w:pPr>
            <w:r w:rsidRPr="00B1724D">
              <w:rPr>
                <w:sz w:val="22"/>
                <w:lang w:bidi="it-IT"/>
              </w:rPr>
              <w:t xml:space="preserve">Tachicardia, </w:t>
            </w:r>
          </w:p>
          <w:p w14:paraId="2F8DFC2A" w14:textId="6A8227A4" w:rsidR="003B0CC6" w:rsidRPr="00B1724D" w:rsidRDefault="003B0CC6" w:rsidP="00C733B3">
            <w:pPr>
              <w:pStyle w:val="Default"/>
              <w:rPr>
                <w:sz w:val="22"/>
                <w:szCs w:val="20"/>
                <w:lang w:val="en-GB"/>
              </w:rPr>
            </w:pPr>
            <w:r w:rsidRPr="00B1724D">
              <w:rPr>
                <w:sz w:val="22"/>
                <w:lang w:bidi="it-IT"/>
              </w:rPr>
              <w:t>Bradicardia,</w:t>
            </w:r>
          </w:p>
          <w:p w14:paraId="0019685C" w14:textId="76FF51BD" w:rsidR="003B0CC6" w:rsidRPr="005107A0" w:rsidRDefault="003D0ECD" w:rsidP="00B1724D">
            <w:pPr>
              <w:pStyle w:val="Default"/>
              <w:rPr>
                <w:lang w:val="en-GB"/>
              </w:rPr>
            </w:pPr>
            <w:r w:rsidRPr="00B1724D">
              <w:rPr>
                <w:sz w:val="22"/>
                <w:lang w:bidi="it-IT"/>
              </w:rPr>
              <w:t>P</w:t>
            </w:r>
            <w:r w:rsidR="007460EA" w:rsidRPr="00B1724D">
              <w:rPr>
                <w:sz w:val="22"/>
                <w:lang w:bidi="it-IT"/>
              </w:rPr>
              <w:t>alpitazioni</w:t>
            </w:r>
          </w:p>
        </w:tc>
        <w:tc>
          <w:tcPr>
            <w:tcW w:w="1461" w:type="dxa"/>
          </w:tcPr>
          <w:p w14:paraId="69C549D7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61DD6A95" w14:textId="77777777" w:rsidR="003B0CC6" w:rsidRPr="00721B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E1471" w:rsidRPr="00F03990" w14:paraId="6C8FB831" w14:textId="064EAE06" w:rsidTr="00721B44">
        <w:trPr>
          <w:jc w:val="center"/>
        </w:trPr>
        <w:tc>
          <w:tcPr>
            <w:tcW w:w="1640" w:type="dxa"/>
          </w:tcPr>
          <w:p w14:paraId="4661B257" w14:textId="77777777" w:rsidR="003B0CC6" w:rsidRPr="00B1724D" w:rsidRDefault="003B0CC6" w:rsidP="00C733B3">
            <w:pPr>
              <w:pStyle w:val="Default"/>
              <w:rPr>
                <w:i/>
                <w:sz w:val="22"/>
                <w:szCs w:val="20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vascolari </w:t>
            </w:r>
          </w:p>
          <w:p w14:paraId="4DADE00D" w14:textId="77777777" w:rsidR="003B0CC6" w:rsidRPr="00B1724D" w:rsidRDefault="003B0CC6" w:rsidP="00C733B3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1451" w:type="dxa"/>
          </w:tcPr>
          <w:p w14:paraId="22792406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32" w:type="dxa"/>
          </w:tcPr>
          <w:p w14:paraId="4BF52CC9" w14:textId="525DAEB4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Vampate di calore</w:t>
            </w:r>
          </w:p>
          <w:p w14:paraId="1C67B0BB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</w:tcPr>
          <w:p w14:paraId="50F3B266" w14:textId="3BEFA543" w:rsidR="003B0CC6" w:rsidRPr="005107A0" w:rsidRDefault="003B0CC6" w:rsidP="00B1724D">
            <w:pPr>
              <w:pStyle w:val="Default"/>
              <w:rPr>
                <w:lang w:val="en-GB"/>
              </w:rPr>
            </w:pPr>
            <w:r w:rsidRPr="00B1724D">
              <w:rPr>
                <w:sz w:val="22"/>
                <w:lang w:bidi="it-IT"/>
              </w:rPr>
              <w:t>Diminuzione della pressione sanguigna</w:t>
            </w:r>
          </w:p>
        </w:tc>
        <w:tc>
          <w:tcPr>
            <w:tcW w:w="1461" w:type="dxa"/>
          </w:tcPr>
          <w:p w14:paraId="300FE34C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1376D222" w14:textId="77777777" w:rsidR="003B0CC6" w:rsidRPr="00721B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E1471" w:rsidRPr="00F03990" w14:paraId="09147F7E" w14:textId="50680D6F" w:rsidTr="00721B44">
        <w:trPr>
          <w:jc w:val="center"/>
        </w:trPr>
        <w:tc>
          <w:tcPr>
            <w:tcW w:w="1640" w:type="dxa"/>
          </w:tcPr>
          <w:p w14:paraId="739329E0" w14:textId="22B6C310" w:rsidR="003B0CC6" w:rsidRPr="00B1724D" w:rsidRDefault="003E1471" w:rsidP="00C733B3">
            <w:pPr>
              <w:pStyle w:val="Default"/>
              <w:rPr>
                <w:i/>
                <w:sz w:val="22"/>
                <w:szCs w:val="20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Patologie </w:t>
            </w:r>
            <w:r w:rsidR="003B0CC6" w:rsidRPr="00B1724D">
              <w:rPr>
                <w:b/>
                <w:i/>
                <w:sz w:val="22"/>
                <w:lang w:bidi="it-IT"/>
              </w:rPr>
              <w:t>respiratori</w:t>
            </w:r>
            <w:r w:rsidRPr="00B1724D">
              <w:rPr>
                <w:b/>
                <w:i/>
                <w:sz w:val="22"/>
                <w:lang w:bidi="it-IT"/>
              </w:rPr>
              <w:t>e</w:t>
            </w:r>
            <w:r w:rsidR="003B0CC6" w:rsidRPr="00B1724D">
              <w:rPr>
                <w:b/>
                <w:i/>
                <w:sz w:val="22"/>
                <w:lang w:bidi="it-IT"/>
              </w:rPr>
              <w:t>, torac</w:t>
            </w:r>
            <w:r w:rsidRPr="00B1724D">
              <w:rPr>
                <w:b/>
                <w:i/>
                <w:sz w:val="22"/>
                <w:lang w:bidi="it-IT"/>
              </w:rPr>
              <w:t>ich</w:t>
            </w:r>
            <w:r w:rsidR="00FF3964" w:rsidRPr="00B1724D">
              <w:rPr>
                <w:b/>
                <w:i/>
                <w:sz w:val="22"/>
                <w:lang w:bidi="it-IT"/>
              </w:rPr>
              <w:t>e</w:t>
            </w:r>
            <w:r w:rsidR="003B0CC6" w:rsidRPr="00B1724D">
              <w:rPr>
                <w:b/>
                <w:i/>
                <w:sz w:val="22"/>
                <w:lang w:bidi="it-IT"/>
              </w:rPr>
              <w:t xml:space="preserve"> e </w:t>
            </w:r>
          </w:p>
          <w:p w14:paraId="2001F6B1" w14:textId="03E2022F" w:rsidR="003B0CC6" w:rsidRPr="00B1724D" w:rsidRDefault="003B0CC6" w:rsidP="00C733B3">
            <w:pPr>
              <w:rPr>
                <w:rFonts w:ascii="Times New Roman" w:hAnsi="Times New Roman"/>
                <w:i/>
              </w:rPr>
            </w:pPr>
            <w:r w:rsidRPr="00B1724D">
              <w:rPr>
                <w:rFonts w:ascii="Times New Roman" w:hAnsi="Times New Roman" w:cs="Times New Roman"/>
                <w:b/>
                <w:i/>
                <w:lang w:bidi="it-IT"/>
              </w:rPr>
              <w:t>mediastini</w:t>
            </w:r>
            <w:r w:rsidR="003E1471" w:rsidRPr="00B1724D">
              <w:rPr>
                <w:rFonts w:ascii="Times New Roman" w:hAnsi="Times New Roman" w:cs="Times New Roman"/>
                <w:b/>
                <w:i/>
                <w:lang w:bidi="it-IT"/>
              </w:rPr>
              <w:t>che</w:t>
            </w:r>
            <w:r w:rsidRPr="00B1724D">
              <w:rPr>
                <w:rFonts w:ascii="Times New Roman" w:hAnsi="Times New Roman" w:cs="Times New Roman"/>
                <w:b/>
                <w:i/>
                <w:lang w:bidi="it-IT"/>
              </w:rPr>
              <w:t xml:space="preserve"> </w:t>
            </w:r>
          </w:p>
        </w:tc>
        <w:tc>
          <w:tcPr>
            <w:tcW w:w="1451" w:type="dxa"/>
          </w:tcPr>
          <w:p w14:paraId="0661B47A" w14:textId="77777777" w:rsidR="003B0CC6" w:rsidRPr="00931244" w:rsidRDefault="003B0CC6" w:rsidP="00C733B3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11BFE8C5" w14:textId="0CBFC19F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Dispnea</w:t>
            </w:r>
          </w:p>
          <w:p w14:paraId="6D556D6E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</w:tcPr>
          <w:p w14:paraId="01540F40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61" w:type="dxa"/>
          </w:tcPr>
          <w:p w14:paraId="24B9629A" w14:textId="5865F29C" w:rsidR="006F3E78" w:rsidRPr="00B1724D" w:rsidRDefault="006F3E78" w:rsidP="00C733B3">
            <w:pPr>
              <w:pStyle w:val="Default"/>
              <w:rPr>
                <w:sz w:val="22"/>
                <w:lang w:bidi="it-IT"/>
              </w:rPr>
            </w:pPr>
            <w:r w:rsidRPr="00B1724D">
              <w:rPr>
                <w:sz w:val="22"/>
                <w:lang w:bidi="it-IT"/>
              </w:rPr>
              <w:t>Depressione</w:t>
            </w:r>
          </w:p>
          <w:p w14:paraId="1DAD2F2A" w14:textId="0CDD66B2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respiratoria</w:t>
            </w:r>
          </w:p>
          <w:p w14:paraId="10D9A826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42D8462C" w14:textId="77777777" w:rsidR="003B0CC6" w:rsidRPr="0076150F" w:rsidRDefault="003B0CC6" w:rsidP="00C733B3">
            <w:pPr>
              <w:pStyle w:val="Default"/>
              <w:rPr>
                <w:sz w:val="20"/>
                <w:szCs w:val="20"/>
              </w:rPr>
            </w:pPr>
          </w:p>
        </w:tc>
      </w:tr>
      <w:tr w:rsidR="003E1471" w:rsidRPr="00F03990" w14:paraId="0F99F9E2" w14:textId="7E08E092" w:rsidTr="00721B44">
        <w:trPr>
          <w:jc w:val="center"/>
        </w:trPr>
        <w:tc>
          <w:tcPr>
            <w:tcW w:w="1640" w:type="dxa"/>
          </w:tcPr>
          <w:p w14:paraId="275E85A5" w14:textId="77777777" w:rsidR="003B0CC6" w:rsidRPr="00B1724D" w:rsidRDefault="003B0CC6" w:rsidP="00C733B3">
            <w:pPr>
              <w:pStyle w:val="Default"/>
              <w:rPr>
                <w:i/>
                <w:sz w:val="22"/>
                <w:szCs w:val="20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gastrointestinali </w:t>
            </w:r>
          </w:p>
          <w:p w14:paraId="75C2EA00" w14:textId="77777777" w:rsidR="003B0CC6" w:rsidRPr="00B1724D" w:rsidRDefault="003B0CC6" w:rsidP="00C733B3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1451" w:type="dxa"/>
          </w:tcPr>
          <w:p w14:paraId="519801E7" w14:textId="5A19348B" w:rsidR="003B0CC6" w:rsidRPr="00931244" w:rsidRDefault="003B0CC6" w:rsidP="00C733B3">
            <w:pPr>
              <w:rPr>
                <w:rFonts w:ascii="Times New Roman" w:hAnsi="Times New Roman" w:cs="Times New Roman"/>
                <w:lang w:val="en-GB"/>
              </w:rPr>
            </w:pPr>
            <w:r w:rsidRPr="00B1724D">
              <w:rPr>
                <w:rFonts w:ascii="Times New Roman" w:hAnsi="Times New Roman" w:cs="Times New Roman"/>
                <w:lang w:bidi="it-IT"/>
              </w:rPr>
              <w:t>Nausea, Sti</w:t>
            </w:r>
            <w:r w:rsidR="009B70C8" w:rsidRPr="00B1724D">
              <w:rPr>
                <w:rFonts w:ascii="Times New Roman" w:hAnsi="Times New Roman" w:cs="Times New Roman"/>
                <w:lang w:bidi="it-IT"/>
              </w:rPr>
              <w:t>psi</w:t>
            </w:r>
          </w:p>
        </w:tc>
        <w:tc>
          <w:tcPr>
            <w:tcW w:w="1532" w:type="dxa"/>
          </w:tcPr>
          <w:p w14:paraId="4F8DD727" w14:textId="73A3E0DD" w:rsidR="003B0CC6" w:rsidRPr="005107A0" w:rsidRDefault="003B0CC6" w:rsidP="00B1724D">
            <w:pPr>
              <w:pStyle w:val="Default"/>
              <w:rPr>
                <w:lang w:val="en-GB"/>
              </w:rPr>
            </w:pPr>
            <w:r w:rsidRPr="00B1724D">
              <w:rPr>
                <w:sz w:val="22"/>
                <w:lang w:bidi="it-IT"/>
              </w:rPr>
              <w:t>Vomito, Diarrea, Dispepsia</w:t>
            </w:r>
          </w:p>
        </w:tc>
        <w:tc>
          <w:tcPr>
            <w:tcW w:w="1753" w:type="dxa"/>
          </w:tcPr>
          <w:p w14:paraId="6ACA2102" w14:textId="73E4CF94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Disturbo addominale</w:t>
            </w:r>
          </w:p>
          <w:p w14:paraId="0F83E403" w14:textId="40DF3F2B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61" w:type="dxa"/>
          </w:tcPr>
          <w:p w14:paraId="2B3E9DD5" w14:textId="2BFC5CEC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Svuotamento</w:t>
            </w:r>
          </w:p>
          <w:p w14:paraId="1C39AF93" w14:textId="0B85A2D4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gastrico</w:t>
            </w:r>
          </w:p>
          <w:p w14:paraId="51CF0FB2" w14:textId="20C4515F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  <w:r w:rsidRPr="00B1724D">
              <w:rPr>
                <w:rFonts w:ascii="Times New Roman" w:hAnsi="Times New Roman" w:cs="Times New Roman"/>
                <w:lang w:bidi="it-IT"/>
              </w:rPr>
              <w:t>alterato</w:t>
            </w:r>
          </w:p>
        </w:tc>
        <w:tc>
          <w:tcPr>
            <w:tcW w:w="883" w:type="dxa"/>
          </w:tcPr>
          <w:p w14:paraId="359C3208" w14:textId="77777777" w:rsidR="003B0CC6" w:rsidRPr="0076150F" w:rsidRDefault="003B0CC6" w:rsidP="00C733B3">
            <w:pPr>
              <w:pStyle w:val="Default"/>
              <w:rPr>
                <w:sz w:val="20"/>
                <w:szCs w:val="20"/>
              </w:rPr>
            </w:pPr>
          </w:p>
        </w:tc>
      </w:tr>
      <w:tr w:rsidR="003E1471" w:rsidRPr="00F03990" w14:paraId="2A21F667" w14:textId="44383373" w:rsidTr="00721B44">
        <w:trPr>
          <w:jc w:val="center"/>
        </w:trPr>
        <w:tc>
          <w:tcPr>
            <w:tcW w:w="1640" w:type="dxa"/>
          </w:tcPr>
          <w:p w14:paraId="52942860" w14:textId="1401AB97" w:rsidR="003B0CC6" w:rsidRPr="00B1724D" w:rsidRDefault="003B0CC6" w:rsidP="00C733B3">
            <w:pPr>
              <w:pStyle w:val="Default"/>
              <w:rPr>
                <w:i/>
                <w:sz w:val="22"/>
                <w:szCs w:val="20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della </w:t>
            </w:r>
            <w:r w:rsidR="00B671B3" w:rsidRPr="00B1724D">
              <w:rPr>
                <w:b/>
                <w:i/>
                <w:sz w:val="22"/>
                <w:lang w:bidi="it-IT"/>
              </w:rPr>
              <w:t xml:space="preserve">cute </w:t>
            </w:r>
            <w:r w:rsidRPr="00B1724D">
              <w:rPr>
                <w:b/>
                <w:i/>
                <w:sz w:val="22"/>
                <w:lang w:bidi="it-IT"/>
              </w:rPr>
              <w:t xml:space="preserve">e del tessuto sottocutaneo </w:t>
            </w:r>
          </w:p>
          <w:p w14:paraId="1DCAE45C" w14:textId="77777777" w:rsidR="003B0CC6" w:rsidRPr="00B1724D" w:rsidRDefault="003B0CC6" w:rsidP="00C733B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1" w:type="dxa"/>
          </w:tcPr>
          <w:p w14:paraId="0BA770F8" w14:textId="77777777" w:rsidR="003B0CC6" w:rsidRPr="00931244" w:rsidRDefault="003B0CC6" w:rsidP="00C733B3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31A5A1E0" w14:textId="70F68335" w:rsidR="003B0CC6" w:rsidRPr="005107A0" w:rsidRDefault="003B0CC6" w:rsidP="00B1724D">
            <w:pPr>
              <w:pStyle w:val="Default"/>
              <w:rPr>
                <w:lang w:val="en-GB"/>
              </w:rPr>
            </w:pPr>
            <w:r w:rsidRPr="00B1724D">
              <w:rPr>
                <w:sz w:val="22"/>
                <w:lang w:bidi="it-IT"/>
              </w:rPr>
              <w:t>Prurito, Iperidrosi, Eruzioni cutanee</w:t>
            </w:r>
          </w:p>
        </w:tc>
        <w:tc>
          <w:tcPr>
            <w:tcW w:w="1753" w:type="dxa"/>
          </w:tcPr>
          <w:p w14:paraId="3FF25658" w14:textId="0CC22372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Orticaria</w:t>
            </w:r>
          </w:p>
          <w:p w14:paraId="3A3FE8AA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61" w:type="dxa"/>
          </w:tcPr>
          <w:p w14:paraId="40CD96E0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3B1A94C0" w14:textId="77777777" w:rsidR="003B0CC6" w:rsidRPr="00721B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E1471" w:rsidRPr="00F03990" w14:paraId="041E91E8" w14:textId="05C958A7" w:rsidTr="00721B44">
        <w:trPr>
          <w:jc w:val="center"/>
        </w:trPr>
        <w:tc>
          <w:tcPr>
            <w:tcW w:w="1640" w:type="dxa"/>
          </w:tcPr>
          <w:p w14:paraId="48A5F1F9" w14:textId="77777777" w:rsidR="003B0CC6" w:rsidRPr="00B1724D" w:rsidRDefault="003B0CC6" w:rsidP="00C733B3">
            <w:pPr>
              <w:pStyle w:val="Default"/>
              <w:rPr>
                <w:i/>
                <w:sz w:val="22"/>
                <w:szCs w:val="20"/>
              </w:rPr>
            </w:pPr>
            <w:r w:rsidRPr="00B1724D">
              <w:rPr>
                <w:b/>
                <w:i/>
                <w:sz w:val="22"/>
                <w:lang w:bidi="it-IT"/>
              </w:rPr>
              <w:t xml:space="preserve">Disturbi renali e urinari </w:t>
            </w:r>
          </w:p>
          <w:p w14:paraId="49AB044E" w14:textId="77777777" w:rsidR="003B0CC6" w:rsidRPr="00B1724D" w:rsidRDefault="003B0CC6" w:rsidP="00C733B3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1451" w:type="dxa"/>
          </w:tcPr>
          <w:p w14:paraId="40D11159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532" w:type="dxa"/>
          </w:tcPr>
          <w:p w14:paraId="2F9358E7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53" w:type="dxa"/>
          </w:tcPr>
          <w:p w14:paraId="42C65A07" w14:textId="3C146B16" w:rsidR="003B0CC6" w:rsidRPr="005107A0" w:rsidRDefault="003B0CC6" w:rsidP="00B1724D">
            <w:pPr>
              <w:pStyle w:val="Default"/>
              <w:rPr>
                <w:lang w:val="en-GB"/>
              </w:rPr>
            </w:pPr>
            <w:r w:rsidRPr="00B1724D">
              <w:rPr>
                <w:sz w:val="22"/>
                <w:lang w:bidi="it-IT"/>
              </w:rPr>
              <w:t>Esitazione minzionale, Pollachiuria</w:t>
            </w:r>
          </w:p>
        </w:tc>
        <w:tc>
          <w:tcPr>
            <w:tcW w:w="1461" w:type="dxa"/>
          </w:tcPr>
          <w:p w14:paraId="4E789CA7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185ABC69" w14:textId="77777777" w:rsidR="003B0CC6" w:rsidRPr="00721B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E1471" w:rsidRPr="00F03990" w14:paraId="0FB3D892" w14:textId="6BFAD565" w:rsidTr="00721B44">
        <w:trPr>
          <w:jc w:val="center"/>
        </w:trPr>
        <w:tc>
          <w:tcPr>
            <w:tcW w:w="1640" w:type="dxa"/>
          </w:tcPr>
          <w:p w14:paraId="2851E9C4" w14:textId="765CF4F2" w:rsidR="003B0CC6" w:rsidRPr="00B1724D" w:rsidRDefault="003B0CC6" w:rsidP="00B1724D">
            <w:pPr>
              <w:pStyle w:val="Default"/>
              <w:rPr>
                <w:i/>
              </w:rPr>
            </w:pPr>
            <w:r w:rsidRPr="00B1724D">
              <w:rPr>
                <w:b/>
                <w:i/>
                <w:sz w:val="22"/>
                <w:lang w:bidi="it-IT"/>
              </w:rPr>
              <w:t>Disturbi del sistema riproduttivo e del</w:t>
            </w:r>
            <w:r w:rsidR="00D12F89" w:rsidRPr="00B1724D">
              <w:rPr>
                <w:b/>
                <w:i/>
                <w:sz w:val="22"/>
                <w:lang w:bidi="it-IT"/>
              </w:rPr>
              <w:t>la mamm</w:t>
            </w:r>
            <w:r w:rsidR="0002433A" w:rsidRPr="00B1724D">
              <w:rPr>
                <w:b/>
                <w:i/>
                <w:sz w:val="22"/>
                <w:lang w:bidi="it-IT"/>
              </w:rPr>
              <w:t>ell</w:t>
            </w:r>
            <w:r w:rsidR="00F33DCE" w:rsidRPr="00B1724D">
              <w:rPr>
                <w:b/>
                <w:i/>
                <w:sz w:val="22"/>
                <w:lang w:bidi="it-IT"/>
              </w:rPr>
              <w:t>a</w:t>
            </w:r>
          </w:p>
        </w:tc>
        <w:tc>
          <w:tcPr>
            <w:tcW w:w="1451" w:type="dxa"/>
          </w:tcPr>
          <w:p w14:paraId="6981C1CB" w14:textId="77777777" w:rsidR="003B0CC6" w:rsidRPr="00931244" w:rsidRDefault="003B0CC6" w:rsidP="00C733B3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31F46E6D" w14:textId="77777777" w:rsidR="003B0CC6" w:rsidRPr="00931244" w:rsidRDefault="003B0CC6" w:rsidP="00C733B3">
            <w:pPr>
              <w:rPr>
                <w:rFonts w:ascii="Times New Roman" w:hAnsi="Times New Roman"/>
              </w:rPr>
            </w:pPr>
          </w:p>
        </w:tc>
        <w:tc>
          <w:tcPr>
            <w:tcW w:w="1753" w:type="dxa"/>
          </w:tcPr>
          <w:p w14:paraId="00B7E219" w14:textId="591FBB07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t>Disfunzione sessuale</w:t>
            </w:r>
          </w:p>
          <w:p w14:paraId="093D11BC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61" w:type="dxa"/>
          </w:tcPr>
          <w:p w14:paraId="06DE0D60" w14:textId="77777777" w:rsidR="003B0CC6" w:rsidRPr="009312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83" w:type="dxa"/>
          </w:tcPr>
          <w:p w14:paraId="10D967F3" w14:textId="77777777" w:rsidR="003B0CC6" w:rsidRPr="00721B44" w:rsidRDefault="003B0CC6" w:rsidP="00C733B3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E1471" w:rsidRPr="00F03990" w14:paraId="08FF0DE0" w14:textId="7F758A40" w:rsidTr="00721B44">
        <w:trPr>
          <w:jc w:val="center"/>
        </w:trPr>
        <w:tc>
          <w:tcPr>
            <w:tcW w:w="1640" w:type="dxa"/>
          </w:tcPr>
          <w:p w14:paraId="28D986A0" w14:textId="2559AA18" w:rsidR="003B0CC6" w:rsidRPr="00B1724D" w:rsidRDefault="006507B3" w:rsidP="00C733B3">
            <w:pPr>
              <w:pStyle w:val="Default"/>
              <w:rPr>
                <w:i/>
                <w:sz w:val="22"/>
              </w:rPr>
            </w:pPr>
            <w:r w:rsidRPr="00B1724D">
              <w:rPr>
                <w:b/>
                <w:i/>
                <w:sz w:val="22"/>
                <w:lang w:bidi="it-IT"/>
              </w:rPr>
              <w:t>Patologie</w:t>
            </w:r>
            <w:r w:rsidR="003B0CC6" w:rsidRPr="00B1724D">
              <w:rPr>
                <w:b/>
                <w:i/>
                <w:sz w:val="22"/>
                <w:lang w:bidi="it-IT"/>
              </w:rPr>
              <w:t xml:space="preserve"> generali e </w:t>
            </w:r>
            <w:r w:rsidRPr="00B1724D">
              <w:rPr>
                <w:b/>
                <w:i/>
                <w:sz w:val="22"/>
                <w:lang w:bidi="it-IT"/>
              </w:rPr>
              <w:lastRenderedPageBreak/>
              <w:t xml:space="preserve">condizioni relative alla sede </w:t>
            </w:r>
            <w:r w:rsidR="003B0CC6" w:rsidRPr="00B1724D">
              <w:rPr>
                <w:b/>
                <w:i/>
                <w:sz w:val="22"/>
                <w:lang w:bidi="it-IT"/>
              </w:rPr>
              <w:t xml:space="preserve">di somministrazione </w:t>
            </w:r>
          </w:p>
          <w:p w14:paraId="2DCF76F1" w14:textId="77777777" w:rsidR="003B0CC6" w:rsidRPr="00B1724D" w:rsidRDefault="003B0CC6" w:rsidP="00C733B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51" w:type="dxa"/>
          </w:tcPr>
          <w:p w14:paraId="0B12C881" w14:textId="77777777" w:rsidR="003B0CC6" w:rsidRPr="00931244" w:rsidRDefault="003B0CC6" w:rsidP="00C733B3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14:paraId="6AA2C53E" w14:textId="672DCC77" w:rsidR="003B0CC6" w:rsidRPr="005107A0" w:rsidRDefault="003B0CC6" w:rsidP="00B1724D">
            <w:pPr>
              <w:pStyle w:val="Default"/>
            </w:pPr>
            <w:r w:rsidRPr="00B1724D">
              <w:rPr>
                <w:sz w:val="22"/>
                <w:lang w:bidi="it-IT"/>
              </w:rPr>
              <w:t>Astenia</w:t>
            </w:r>
            <w:r w:rsidR="00684E1A" w:rsidRPr="00B1724D">
              <w:rPr>
                <w:sz w:val="22"/>
                <w:lang w:bidi="it-IT"/>
              </w:rPr>
              <w:t xml:space="preserve"> Affaticamento</w:t>
            </w:r>
            <w:r w:rsidRPr="00B1724D">
              <w:rPr>
                <w:sz w:val="22"/>
                <w:lang w:bidi="it-IT"/>
              </w:rPr>
              <w:t xml:space="preserve">, </w:t>
            </w:r>
            <w:r w:rsidR="00684E1A" w:rsidRPr="00B1724D">
              <w:rPr>
                <w:sz w:val="22"/>
                <w:lang w:bidi="it-IT"/>
              </w:rPr>
              <w:lastRenderedPageBreak/>
              <w:t>Perce</w:t>
            </w:r>
            <w:r w:rsidRPr="00B1724D">
              <w:rPr>
                <w:sz w:val="22"/>
                <w:lang w:bidi="it-IT"/>
              </w:rPr>
              <w:t xml:space="preserve">zione di </w:t>
            </w:r>
            <w:r w:rsidR="00732BD3" w:rsidRPr="00B1724D">
              <w:rPr>
                <w:sz w:val="22"/>
                <w:lang w:bidi="it-IT"/>
              </w:rPr>
              <w:t xml:space="preserve">variazione </w:t>
            </w:r>
            <w:r w:rsidRPr="00B1724D">
              <w:rPr>
                <w:sz w:val="22"/>
                <w:lang w:bidi="it-IT"/>
              </w:rPr>
              <w:t>della temperatura corporea, Secchezza delle mucose, Edema</w:t>
            </w:r>
          </w:p>
        </w:tc>
        <w:tc>
          <w:tcPr>
            <w:tcW w:w="1753" w:type="dxa"/>
          </w:tcPr>
          <w:p w14:paraId="77EB8BD9" w14:textId="6F44343B" w:rsidR="003B0CC6" w:rsidRPr="00B1724D" w:rsidRDefault="003B0CC6" w:rsidP="00C733B3">
            <w:pPr>
              <w:pStyle w:val="Default"/>
              <w:rPr>
                <w:sz w:val="22"/>
              </w:rPr>
            </w:pPr>
            <w:r w:rsidRPr="00B1724D">
              <w:rPr>
                <w:sz w:val="22"/>
                <w:lang w:bidi="it-IT"/>
              </w:rPr>
              <w:lastRenderedPageBreak/>
              <w:t xml:space="preserve">Sindrome da astinenza da </w:t>
            </w:r>
            <w:r w:rsidRPr="00B1724D">
              <w:rPr>
                <w:sz w:val="22"/>
                <w:lang w:bidi="it-IT"/>
              </w:rPr>
              <w:lastRenderedPageBreak/>
              <w:t>farmaco, Sensazione di anormalità, Irritabilità</w:t>
            </w:r>
          </w:p>
          <w:p w14:paraId="0175C733" w14:textId="77777777" w:rsidR="003B0CC6" w:rsidRPr="00931244" w:rsidRDefault="003B0CC6" w:rsidP="00C733B3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14:paraId="132EBE9F" w14:textId="2694B1E6" w:rsidR="003B0CC6" w:rsidRPr="00B1724D" w:rsidRDefault="003B0CC6" w:rsidP="00C733B3">
            <w:pPr>
              <w:pStyle w:val="Default"/>
              <w:rPr>
                <w:sz w:val="22"/>
                <w:szCs w:val="20"/>
              </w:rPr>
            </w:pPr>
            <w:r w:rsidRPr="00B1724D">
              <w:rPr>
                <w:sz w:val="22"/>
                <w:lang w:bidi="it-IT"/>
              </w:rPr>
              <w:lastRenderedPageBreak/>
              <w:t xml:space="preserve">Sensazione di ubriachezza, </w:t>
            </w:r>
            <w:r w:rsidRPr="00B1724D">
              <w:rPr>
                <w:sz w:val="22"/>
                <w:lang w:bidi="it-IT"/>
              </w:rPr>
              <w:lastRenderedPageBreak/>
              <w:t>Sensazione di rilassamento</w:t>
            </w:r>
          </w:p>
          <w:p w14:paraId="1E67A3AE" w14:textId="77777777" w:rsidR="003B0CC6" w:rsidRPr="00931244" w:rsidRDefault="003B0CC6" w:rsidP="00C733B3">
            <w:pPr>
              <w:rPr>
                <w:rFonts w:ascii="Times New Roman" w:hAnsi="Times New Roman"/>
              </w:rPr>
            </w:pPr>
          </w:p>
        </w:tc>
        <w:tc>
          <w:tcPr>
            <w:tcW w:w="883" w:type="dxa"/>
          </w:tcPr>
          <w:p w14:paraId="5B45A333" w14:textId="77777777" w:rsidR="003B0CC6" w:rsidRPr="0076150F" w:rsidRDefault="003B0CC6" w:rsidP="00C733B3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26BA0F8B" w14:textId="6309E871" w:rsidR="00B63601" w:rsidRPr="00721B44" w:rsidRDefault="00B63601" w:rsidP="00C733B3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</w:rPr>
      </w:pPr>
      <w:r w:rsidRPr="005A042B">
        <w:rPr>
          <w:rFonts w:ascii="Times New Roman" w:hAnsi="Times New Roman" w:cs="Times New Roman"/>
          <w:i/>
          <w:sz w:val="20"/>
          <w:lang w:bidi="it-IT"/>
        </w:rPr>
        <w:t>*</w:t>
      </w:r>
      <w:r w:rsidR="00705A00">
        <w:rPr>
          <w:rFonts w:ascii="Times New Roman" w:hAnsi="Times New Roman" w:cs="Times New Roman"/>
          <w:i/>
          <w:sz w:val="20"/>
          <w:lang w:bidi="it-IT"/>
        </w:rPr>
        <w:t xml:space="preserve"> </w:t>
      </w:r>
      <w:r w:rsidRPr="005A042B">
        <w:rPr>
          <w:rFonts w:ascii="Times New Roman" w:hAnsi="Times New Roman" w:cs="Times New Roman"/>
          <w:i/>
          <w:sz w:val="20"/>
          <w:lang w:bidi="it-IT"/>
        </w:rPr>
        <w:t xml:space="preserve">Dopo l’immissione in commercio sono stati registrati eventi rari di angioedema, anafilassi e shock anafilattico. </w:t>
      </w:r>
    </w:p>
    <w:p w14:paraId="00BDE5FD" w14:textId="0E271085" w:rsidR="00B63601" w:rsidRDefault="00B63601" w:rsidP="00C733B3">
      <w:pPr>
        <w:spacing w:after="0" w:line="240" w:lineRule="auto"/>
        <w:rPr>
          <w:rFonts w:ascii="Times New Roman" w:hAnsi="Times New Roman" w:cs="Times New Roman"/>
          <w:i/>
          <w:sz w:val="20"/>
          <w:lang w:bidi="it-IT"/>
        </w:rPr>
      </w:pPr>
      <w:r w:rsidRPr="005A042B">
        <w:rPr>
          <w:rFonts w:ascii="Times New Roman" w:hAnsi="Times New Roman" w:cs="Times New Roman"/>
          <w:i/>
          <w:sz w:val="20"/>
          <w:lang w:bidi="it-IT"/>
        </w:rPr>
        <w:t xml:space="preserve">** Dopo l’immissione in commercio sono stati osservati casi di delirio in pazienti con ulteriori fattori di rischio come il cancro e l'età avanzata. </w:t>
      </w:r>
    </w:p>
    <w:p w14:paraId="06D113ED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</w:rPr>
      </w:pPr>
    </w:p>
    <w:p w14:paraId="2ABF0602" w14:textId="1D0FAA03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Gli studi clinici condotti con le compresse a rilascio prolungato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con esposizione del paziente fino a 1 anno hanno mostrato una scarsa evidenza di sintomi di astinenza in caso di brusca interruzione e questi sono stati generalmente classificati come </w:t>
      </w:r>
      <w:r w:rsidR="001D6FD4">
        <w:rPr>
          <w:rFonts w:ascii="Times New Roman" w:hAnsi="Times New Roman" w:cs="Times New Roman"/>
          <w:lang w:bidi="it-IT"/>
        </w:rPr>
        <w:t xml:space="preserve">di </w:t>
      </w:r>
      <w:r w:rsidRPr="005A042B">
        <w:rPr>
          <w:rFonts w:ascii="Times New Roman" w:hAnsi="Times New Roman" w:cs="Times New Roman"/>
          <w:lang w:bidi="it-IT"/>
        </w:rPr>
        <w:t>liev</w:t>
      </w:r>
      <w:r w:rsidR="001D6FD4">
        <w:rPr>
          <w:rFonts w:ascii="Times New Roman" w:hAnsi="Times New Roman" w:cs="Times New Roman"/>
          <w:lang w:bidi="it-IT"/>
        </w:rPr>
        <w:t>e entità</w:t>
      </w:r>
      <w:r w:rsidRPr="005A042B">
        <w:rPr>
          <w:rFonts w:ascii="Times New Roman" w:hAnsi="Times New Roman" w:cs="Times New Roman"/>
          <w:lang w:bidi="it-IT"/>
        </w:rPr>
        <w:t xml:space="preserve">, laddove si sono verificati. Ciononostante, i medici devono valutare con attenzione </w:t>
      </w:r>
      <w:r w:rsidR="001D6FD4">
        <w:rPr>
          <w:rFonts w:ascii="Times New Roman" w:hAnsi="Times New Roman" w:cs="Times New Roman"/>
          <w:lang w:bidi="it-IT"/>
        </w:rPr>
        <w:t>l’insorgenza di eventual</w:t>
      </w:r>
      <w:r w:rsidRPr="005A042B">
        <w:rPr>
          <w:rFonts w:ascii="Times New Roman" w:hAnsi="Times New Roman" w:cs="Times New Roman"/>
          <w:lang w:bidi="it-IT"/>
        </w:rPr>
        <w:t>i sintomi d</w:t>
      </w:r>
      <w:r w:rsidR="001D6FD4">
        <w:rPr>
          <w:rFonts w:ascii="Times New Roman" w:hAnsi="Times New Roman" w:cs="Times New Roman"/>
          <w:lang w:bidi="it-IT"/>
        </w:rPr>
        <w:t xml:space="preserve">a </w:t>
      </w:r>
      <w:r w:rsidRPr="005A042B">
        <w:rPr>
          <w:rFonts w:ascii="Times New Roman" w:hAnsi="Times New Roman" w:cs="Times New Roman"/>
          <w:lang w:bidi="it-IT"/>
        </w:rPr>
        <w:t>astinenza (</w:t>
      </w:r>
      <w:r w:rsidR="00516634">
        <w:rPr>
          <w:rFonts w:ascii="Times New Roman" w:hAnsi="Times New Roman" w:cs="Times New Roman"/>
          <w:lang w:bidi="it-IT"/>
        </w:rPr>
        <w:t>vedere</w:t>
      </w:r>
      <w:r w:rsidRPr="005A042B">
        <w:rPr>
          <w:rFonts w:ascii="Times New Roman" w:hAnsi="Times New Roman" w:cs="Times New Roman"/>
          <w:lang w:bidi="it-IT"/>
        </w:rPr>
        <w:t xml:space="preserve"> paragrafo 4.2) e trattare i pazienti di conseguenza </w:t>
      </w:r>
      <w:r w:rsidR="001D6FD4">
        <w:rPr>
          <w:rFonts w:ascii="Times New Roman" w:hAnsi="Times New Roman" w:cs="Times New Roman"/>
          <w:lang w:bidi="it-IT"/>
        </w:rPr>
        <w:t xml:space="preserve">qualora dovessero </w:t>
      </w:r>
      <w:r w:rsidR="007D71BA">
        <w:rPr>
          <w:rFonts w:ascii="Times New Roman" w:hAnsi="Times New Roman" w:cs="Times New Roman"/>
          <w:lang w:bidi="it-IT"/>
        </w:rPr>
        <w:t>verificarsi</w:t>
      </w:r>
      <w:r w:rsidRPr="005A042B">
        <w:rPr>
          <w:rFonts w:ascii="Times New Roman" w:hAnsi="Times New Roman" w:cs="Times New Roman"/>
          <w:lang w:bidi="it-IT"/>
        </w:rPr>
        <w:t xml:space="preserve">. </w:t>
      </w:r>
    </w:p>
    <w:p w14:paraId="33A9CEEE" w14:textId="77777777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D0150F1" w14:textId="1D8C2F9F" w:rsidR="003761E0" w:rsidRDefault="003761E0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 xml:space="preserve">È noto che il rischio di ideazione suicidaria e di suicidi commessi è maggiore nei pazienti che soffrono di dolore cronico. Inoltre, le sostanze con una marcata influenza sul sistema </w:t>
      </w:r>
      <w:proofErr w:type="spellStart"/>
      <w:r w:rsidRPr="005A042B">
        <w:rPr>
          <w:rFonts w:ascii="Times New Roman" w:hAnsi="Times New Roman" w:cs="Times New Roman"/>
          <w:lang w:bidi="it-IT"/>
        </w:rPr>
        <w:t>monoaminergico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sono state associate a un aumento del rischio di </w:t>
      </w:r>
      <w:proofErr w:type="spellStart"/>
      <w:r w:rsidRPr="005A042B">
        <w:rPr>
          <w:rFonts w:ascii="Times New Roman" w:hAnsi="Times New Roman" w:cs="Times New Roman"/>
          <w:lang w:bidi="it-IT"/>
        </w:rPr>
        <w:t>suicidalità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nei pazienti che soffrono di depressione, specialmente all'inizio del trattamento. Per il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i dati</w:t>
      </w:r>
      <w:r w:rsidR="00FF0A5E">
        <w:rPr>
          <w:rFonts w:ascii="Times New Roman" w:hAnsi="Times New Roman" w:cs="Times New Roman"/>
          <w:lang w:bidi="it-IT"/>
        </w:rPr>
        <w:t xml:space="preserve"> derivati</w:t>
      </w:r>
      <w:r w:rsidRPr="005A042B">
        <w:rPr>
          <w:rFonts w:ascii="Times New Roman" w:hAnsi="Times New Roman" w:cs="Times New Roman"/>
          <w:lang w:bidi="it-IT"/>
        </w:rPr>
        <w:t xml:space="preserve"> d</w:t>
      </w:r>
      <w:r w:rsidR="00FF0A5E">
        <w:rPr>
          <w:rFonts w:ascii="Times New Roman" w:hAnsi="Times New Roman" w:cs="Times New Roman"/>
          <w:lang w:bidi="it-IT"/>
        </w:rPr>
        <w:t>a</w:t>
      </w:r>
      <w:r w:rsidRPr="005A042B">
        <w:rPr>
          <w:rFonts w:ascii="Times New Roman" w:hAnsi="Times New Roman" w:cs="Times New Roman"/>
          <w:lang w:bidi="it-IT"/>
        </w:rPr>
        <w:t>gli studi clinici e d</w:t>
      </w:r>
      <w:r w:rsidR="00FF0A5E">
        <w:rPr>
          <w:rFonts w:ascii="Times New Roman" w:hAnsi="Times New Roman" w:cs="Times New Roman"/>
          <w:lang w:bidi="it-IT"/>
        </w:rPr>
        <w:t>a</w:t>
      </w:r>
      <w:r w:rsidRPr="005A042B">
        <w:rPr>
          <w:rFonts w:ascii="Times New Roman" w:hAnsi="Times New Roman" w:cs="Times New Roman"/>
          <w:lang w:bidi="it-IT"/>
        </w:rPr>
        <w:t>i rapporti dopo l’immissione in commercio</w:t>
      </w:r>
      <w:r w:rsidRPr="005A042B">
        <w:rPr>
          <w:rFonts w:ascii="Times New Roman" w:hAnsi="Times New Roman" w:cs="Times New Roman"/>
          <w:i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>non forniscono prove di un aumento del rischio.</w:t>
      </w:r>
    </w:p>
    <w:p w14:paraId="1DF61E0D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12407294" w14:textId="260BACD2" w:rsidR="00B63601" w:rsidRPr="00721B44" w:rsidRDefault="00B63601" w:rsidP="00C733B3">
      <w:pPr>
        <w:spacing w:after="0" w:line="240" w:lineRule="auto"/>
        <w:rPr>
          <w:u w:val="single"/>
        </w:rPr>
      </w:pPr>
      <w:r w:rsidRPr="0094657A">
        <w:rPr>
          <w:rFonts w:ascii="Times New Roman" w:hAnsi="Times New Roman"/>
          <w:u w:val="single"/>
        </w:rPr>
        <w:t>Segnalazione d</w:t>
      </w:r>
      <w:r w:rsidR="00362707" w:rsidRPr="0094657A">
        <w:rPr>
          <w:rFonts w:ascii="Times New Roman" w:hAnsi="Times New Roman"/>
          <w:u w:val="single"/>
        </w:rPr>
        <w:t>elle</w:t>
      </w:r>
      <w:r w:rsidRPr="0094657A">
        <w:rPr>
          <w:rFonts w:ascii="Times New Roman" w:hAnsi="Times New Roman"/>
          <w:u w:val="single"/>
        </w:rPr>
        <w:t xml:space="preserve"> reazioni avverse</w:t>
      </w:r>
      <w:r w:rsidR="00362707" w:rsidRPr="0094657A">
        <w:rPr>
          <w:rFonts w:ascii="Times New Roman" w:hAnsi="Times New Roman"/>
          <w:u w:val="single"/>
        </w:rPr>
        <w:t xml:space="preserve"> sospette</w:t>
      </w:r>
    </w:p>
    <w:p w14:paraId="4C5046D3" w14:textId="483AAF3D" w:rsidR="00B1724D" w:rsidRDefault="008E3D9E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8E3D9E">
        <w:rPr>
          <w:rFonts w:ascii="Times New Roman" w:hAnsi="Times New Roman" w:cs="Times New Roman"/>
          <w:lang w:bidi="it-IT"/>
        </w:rPr>
        <w:t>La segnalazione delle reazioni avverse sospette che si verificano dopo l’autorizzazione del medicinale è importante, in quanto permette un monitoraggio continuo del rapporto beneficio/rischio del medicinale. Agli operatori sanitari è richiesto di segnalare qualsiasi reazione avversa sospetta tramite il sistema nazionale di segnalazione</w:t>
      </w:r>
      <w:r w:rsidR="00B1724D">
        <w:rPr>
          <w:rFonts w:ascii="Times New Roman" w:hAnsi="Times New Roman" w:cs="Times New Roman"/>
          <w:lang w:bidi="it-IT"/>
        </w:rPr>
        <w:t>:</w:t>
      </w:r>
    </w:p>
    <w:p w14:paraId="456BBA91" w14:textId="77777777" w:rsidR="00B1724D" w:rsidRDefault="00B1724D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>
        <w:rPr>
          <w:rFonts w:ascii="Times New Roman" w:hAnsi="Times New Roman" w:cs="Times New Roman"/>
          <w:lang w:bidi="it-IT"/>
        </w:rPr>
        <w:t xml:space="preserve">Agenzia Italiana del Farmaco </w:t>
      </w:r>
    </w:p>
    <w:p w14:paraId="45FB4430" w14:textId="504C5B70" w:rsidR="003761E0" w:rsidRDefault="00B1724D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>
        <w:rPr>
          <w:rFonts w:ascii="Times New Roman" w:hAnsi="Times New Roman" w:cs="Times New Roman"/>
          <w:lang w:bidi="it-IT"/>
        </w:rPr>
        <w:t xml:space="preserve">Sito web: </w:t>
      </w:r>
      <w:hyperlink r:id="rId10" w:history="1">
        <w:r w:rsidR="00931244" w:rsidRPr="00A416FC">
          <w:rPr>
            <w:rStyle w:val="Hyperlink"/>
            <w:rFonts w:ascii="Times New Roman" w:hAnsi="Times New Roman" w:cs="Times New Roman"/>
            <w:lang w:bidi="it-IT"/>
          </w:rPr>
          <w:t>https://www.aifa.gov.it/content/segnalazioni-reazioni-avverse</w:t>
        </w:r>
      </w:hyperlink>
      <w:r w:rsidR="00C07711" w:rsidRPr="00C07711">
        <w:rPr>
          <w:rFonts w:ascii="Times New Roman" w:hAnsi="Times New Roman" w:cs="Times New Roman"/>
          <w:lang w:bidi="it-IT"/>
        </w:rPr>
        <w:t>.</w:t>
      </w:r>
    </w:p>
    <w:p w14:paraId="05EB9FFC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1EA084B3" w14:textId="0BB16D26" w:rsidR="00931244" w:rsidRPr="00B1724D" w:rsidRDefault="003761E0" w:rsidP="00B1724D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4.9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Sovradosaggio</w:t>
      </w:r>
    </w:p>
    <w:p w14:paraId="538C1986" w14:textId="30B51270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DFF3D46" w14:textId="77777777" w:rsidR="00B63601" w:rsidRPr="00721B44" w:rsidRDefault="00B63601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</w:rPr>
      </w:pPr>
      <w:r w:rsidRPr="005A042B">
        <w:rPr>
          <w:rFonts w:ascii="Times New Roman" w:hAnsi="Times New Roman" w:cs="Times New Roman"/>
          <w:i/>
          <w:lang w:bidi="it-IT"/>
        </w:rPr>
        <w:t>Sintomi</w:t>
      </w:r>
    </w:p>
    <w:p w14:paraId="08AECDAE" w14:textId="6338C127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L'esperienza sull'uomo relativa al sovradosaggio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è molto limitata. I dati preclinici suggeriscono che sintomi simili a quelli di altri analgesici ad azione centrale con attività agonista sui recettori mu-oppioidi sono da ritenersi probabili in caso di intossicazione da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. In linea di massima, questi sintomi comprendono, </w:t>
      </w:r>
      <w:r w:rsidR="007A2B6A">
        <w:rPr>
          <w:rFonts w:ascii="Times New Roman" w:hAnsi="Times New Roman" w:cs="Times New Roman"/>
          <w:lang w:bidi="it-IT"/>
        </w:rPr>
        <w:t>con</w:t>
      </w:r>
      <w:r w:rsidR="007A2B6A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>riferimento al contesto clinico, in particolare miosi, vomito, collasso cardiovascolare, disturbi dell</w:t>
      </w:r>
      <w:r w:rsidR="00082E78">
        <w:rPr>
          <w:rFonts w:ascii="Times New Roman" w:hAnsi="Times New Roman" w:cs="Times New Roman"/>
          <w:lang w:bidi="it-IT"/>
        </w:rPr>
        <w:t>o stato di</w:t>
      </w:r>
      <w:r w:rsidRPr="005A042B">
        <w:rPr>
          <w:rFonts w:ascii="Times New Roman" w:hAnsi="Times New Roman" w:cs="Times New Roman"/>
          <w:lang w:bidi="it-IT"/>
        </w:rPr>
        <w:t xml:space="preserve"> coscienza fino al coma, convulsioni e </w:t>
      </w:r>
      <w:r w:rsidR="004E31FF">
        <w:rPr>
          <w:rFonts w:ascii="Times New Roman" w:hAnsi="Times New Roman" w:cs="Times New Roman"/>
          <w:lang w:bidi="it-IT"/>
        </w:rPr>
        <w:t>depressione</w:t>
      </w:r>
      <w:r w:rsidRPr="005A042B">
        <w:rPr>
          <w:rFonts w:ascii="Times New Roman" w:hAnsi="Times New Roman" w:cs="Times New Roman"/>
          <w:lang w:bidi="it-IT"/>
        </w:rPr>
        <w:t xml:space="preserve"> respiratoria fino all'arresto respiratorio. </w:t>
      </w:r>
    </w:p>
    <w:p w14:paraId="5A5B24C7" w14:textId="77777777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515496E" w14:textId="7ABAC670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i/>
          <w:lang w:bidi="it-IT"/>
        </w:rPr>
        <w:t xml:space="preserve">Gestione </w:t>
      </w:r>
    </w:p>
    <w:p w14:paraId="0CAEC3CD" w14:textId="5A692DBD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La gestione del sovradosaggio deve </w:t>
      </w:r>
      <w:r w:rsidR="002D0482">
        <w:rPr>
          <w:rFonts w:ascii="Times New Roman" w:hAnsi="Times New Roman" w:cs="Times New Roman"/>
          <w:lang w:bidi="it-IT"/>
        </w:rPr>
        <w:t>essere incentrata</w:t>
      </w:r>
      <w:r w:rsidRPr="005A042B">
        <w:rPr>
          <w:rFonts w:ascii="Times New Roman" w:hAnsi="Times New Roman" w:cs="Times New Roman"/>
          <w:lang w:bidi="it-IT"/>
        </w:rPr>
        <w:t xml:space="preserve"> sul trattamento dei sintomi </w:t>
      </w:r>
      <w:r w:rsidR="002D0482">
        <w:rPr>
          <w:rFonts w:ascii="Times New Roman" w:hAnsi="Times New Roman" w:cs="Times New Roman"/>
          <w:lang w:bidi="it-IT"/>
        </w:rPr>
        <w:t xml:space="preserve">conseguenti all’azione </w:t>
      </w:r>
      <w:r w:rsidRPr="005A042B">
        <w:rPr>
          <w:rFonts w:ascii="Times New Roman" w:hAnsi="Times New Roman" w:cs="Times New Roman"/>
          <w:lang w:bidi="it-IT"/>
        </w:rPr>
        <w:t>agonis</w:t>
      </w:r>
      <w:r w:rsidR="002D0482">
        <w:rPr>
          <w:rFonts w:ascii="Times New Roman" w:hAnsi="Times New Roman" w:cs="Times New Roman"/>
          <w:lang w:bidi="it-IT"/>
        </w:rPr>
        <w:t>ta</w:t>
      </w:r>
      <w:r w:rsidRPr="005A042B">
        <w:rPr>
          <w:rFonts w:ascii="Times New Roman" w:hAnsi="Times New Roman" w:cs="Times New Roman"/>
          <w:lang w:bidi="it-IT"/>
        </w:rPr>
        <w:t xml:space="preserve"> </w:t>
      </w:r>
      <w:r w:rsidR="002D0482">
        <w:rPr>
          <w:rFonts w:ascii="Times New Roman" w:hAnsi="Times New Roman" w:cs="Times New Roman"/>
          <w:lang w:bidi="it-IT"/>
        </w:rPr>
        <w:t>su</w:t>
      </w:r>
      <w:r w:rsidRPr="005A042B">
        <w:rPr>
          <w:rFonts w:ascii="Times New Roman" w:hAnsi="Times New Roman" w:cs="Times New Roman"/>
          <w:lang w:bidi="it-IT"/>
        </w:rPr>
        <w:t xml:space="preserve">i recettori mu-oppioidi. </w:t>
      </w:r>
      <w:r w:rsidR="00547D96">
        <w:rPr>
          <w:rFonts w:ascii="Times New Roman" w:hAnsi="Times New Roman" w:cs="Times New Roman"/>
          <w:lang w:bidi="it-IT"/>
        </w:rPr>
        <w:t>Q</w:t>
      </w:r>
      <w:r w:rsidR="00547D96" w:rsidRPr="005A042B">
        <w:rPr>
          <w:rFonts w:ascii="Times New Roman" w:hAnsi="Times New Roman" w:cs="Times New Roman"/>
          <w:lang w:bidi="it-IT"/>
        </w:rPr>
        <w:t xml:space="preserve">uando si sospetta un sovradosaggio di </w:t>
      </w:r>
      <w:proofErr w:type="spellStart"/>
      <w:r w:rsidR="00547D96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547D96" w:rsidRPr="005A042B">
        <w:rPr>
          <w:rFonts w:ascii="Times New Roman" w:hAnsi="Times New Roman" w:cs="Times New Roman"/>
          <w:lang w:bidi="it-IT"/>
        </w:rPr>
        <w:t xml:space="preserve"> </w:t>
      </w:r>
      <w:r w:rsidR="00584774">
        <w:rPr>
          <w:rFonts w:ascii="Times New Roman" w:hAnsi="Times New Roman" w:cs="Times New Roman"/>
          <w:lang w:bidi="it-IT"/>
        </w:rPr>
        <w:t>l</w:t>
      </w:r>
      <w:r w:rsidR="00B1724D">
        <w:rPr>
          <w:rFonts w:ascii="Times New Roman" w:hAnsi="Times New Roman" w:cs="Times New Roman"/>
          <w:lang w:bidi="it-IT"/>
        </w:rPr>
        <w:t>’</w:t>
      </w:r>
      <w:r w:rsidRPr="005A042B">
        <w:rPr>
          <w:rFonts w:ascii="Times New Roman" w:hAnsi="Times New Roman" w:cs="Times New Roman"/>
          <w:lang w:bidi="it-IT"/>
        </w:rPr>
        <w:t xml:space="preserve">attenzione </w:t>
      </w:r>
      <w:r w:rsidR="00584774">
        <w:rPr>
          <w:rFonts w:ascii="Times New Roman" w:hAnsi="Times New Roman" w:cs="Times New Roman"/>
          <w:lang w:bidi="it-IT"/>
        </w:rPr>
        <w:t>in primo luogo</w:t>
      </w:r>
      <w:r w:rsidR="00584774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deve essere rivolta </w:t>
      </w:r>
      <w:r w:rsidR="00584774">
        <w:rPr>
          <w:rFonts w:ascii="Times New Roman" w:hAnsi="Times New Roman" w:cs="Times New Roman"/>
          <w:lang w:bidi="it-IT"/>
        </w:rPr>
        <w:t>a garantire la pervietà delle</w:t>
      </w:r>
      <w:r w:rsidRPr="005A042B">
        <w:rPr>
          <w:rFonts w:ascii="Times New Roman" w:hAnsi="Times New Roman" w:cs="Times New Roman"/>
          <w:lang w:bidi="it-IT"/>
        </w:rPr>
        <w:t xml:space="preserve"> vi</w:t>
      </w:r>
      <w:r w:rsidR="00584774">
        <w:rPr>
          <w:rFonts w:ascii="Times New Roman" w:hAnsi="Times New Roman" w:cs="Times New Roman"/>
          <w:lang w:bidi="it-IT"/>
        </w:rPr>
        <w:t>e</w:t>
      </w:r>
      <w:r w:rsidRPr="005A042B">
        <w:rPr>
          <w:rFonts w:ascii="Times New Roman" w:hAnsi="Times New Roman" w:cs="Times New Roman"/>
          <w:lang w:bidi="it-IT"/>
        </w:rPr>
        <w:t xml:space="preserve"> aere</w:t>
      </w:r>
      <w:r w:rsidR="00584774">
        <w:rPr>
          <w:rFonts w:ascii="Times New Roman" w:hAnsi="Times New Roman" w:cs="Times New Roman"/>
          <w:lang w:bidi="it-IT"/>
        </w:rPr>
        <w:t>e</w:t>
      </w:r>
      <w:r w:rsidRPr="005A042B">
        <w:rPr>
          <w:rFonts w:ascii="Times New Roman" w:hAnsi="Times New Roman" w:cs="Times New Roman"/>
          <w:lang w:bidi="it-IT"/>
        </w:rPr>
        <w:t xml:space="preserve"> e all'istituzione di una ventilazione assistita o controllata. </w:t>
      </w:r>
    </w:p>
    <w:p w14:paraId="279A43D9" w14:textId="0B1A87F0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Gli antagonisti puri dei recettori degli oppioidi, come il naloxone, </w:t>
      </w:r>
      <w:r w:rsidR="007D4477">
        <w:rPr>
          <w:rFonts w:ascii="Times New Roman" w:hAnsi="Times New Roman" w:cs="Times New Roman"/>
          <w:lang w:bidi="it-IT"/>
        </w:rPr>
        <w:t>rappresentano degli</w:t>
      </w:r>
      <w:r w:rsidR="007D4477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>antidoti specifici per l</w:t>
      </w:r>
      <w:r w:rsidR="00777186">
        <w:rPr>
          <w:rFonts w:ascii="Times New Roman" w:hAnsi="Times New Roman" w:cs="Times New Roman"/>
          <w:lang w:bidi="it-IT"/>
        </w:rPr>
        <w:t>a depressione</w:t>
      </w:r>
      <w:r w:rsidRPr="005A042B">
        <w:rPr>
          <w:rFonts w:ascii="Times New Roman" w:hAnsi="Times New Roman" w:cs="Times New Roman"/>
          <w:lang w:bidi="it-IT"/>
        </w:rPr>
        <w:t xml:space="preserve"> respiratoria </w:t>
      </w:r>
      <w:r w:rsidR="00420DEC">
        <w:rPr>
          <w:rFonts w:ascii="Times New Roman" w:hAnsi="Times New Roman" w:cs="Times New Roman"/>
          <w:lang w:bidi="it-IT"/>
        </w:rPr>
        <w:t>dovuta a</w:t>
      </w:r>
      <w:r w:rsidRPr="005A042B">
        <w:rPr>
          <w:rFonts w:ascii="Times New Roman" w:hAnsi="Times New Roman" w:cs="Times New Roman"/>
          <w:lang w:bidi="it-IT"/>
        </w:rPr>
        <w:t xml:space="preserve"> sovradosaggio di oppioidi. </w:t>
      </w:r>
      <w:r w:rsidR="00420DEC" w:rsidRPr="005A042B">
        <w:rPr>
          <w:rFonts w:ascii="Times New Roman" w:hAnsi="Times New Roman" w:cs="Times New Roman"/>
          <w:lang w:bidi="it-IT"/>
        </w:rPr>
        <w:t>L</w:t>
      </w:r>
      <w:r w:rsidR="00420DEC">
        <w:rPr>
          <w:rFonts w:ascii="Times New Roman" w:hAnsi="Times New Roman" w:cs="Times New Roman"/>
          <w:lang w:bidi="it-IT"/>
        </w:rPr>
        <w:t>a depressione</w:t>
      </w:r>
      <w:r w:rsidR="00420DEC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respiratoria </w:t>
      </w:r>
      <w:r w:rsidR="00420DEC">
        <w:rPr>
          <w:rFonts w:ascii="Times New Roman" w:hAnsi="Times New Roman" w:cs="Times New Roman"/>
          <w:lang w:bidi="it-IT"/>
        </w:rPr>
        <w:t>conseguente</w:t>
      </w:r>
      <w:r w:rsidR="00420DEC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a sovradosaggio può </w:t>
      </w:r>
      <w:r w:rsidR="00420DEC">
        <w:rPr>
          <w:rFonts w:ascii="Times New Roman" w:hAnsi="Times New Roman" w:cs="Times New Roman"/>
          <w:lang w:bidi="it-IT"/>
        </w:rPr>
        <w:t>avere una</w:t>
      </w:r>
      <w:r w:rsidRPr="005A042B">
        <w:rPr>
          <w:rFonts w:ascii="Times New Roman" w:hAnsi="Times New Roman" w:cs="Times New Roman"/>
          <w:lang w:bidi="it-IT"/>
        </w:rPr>
        <w:t xml:space="preserve"> durata </w:t>
      </w:r>
      <w:r w:rsidR="00420DEC">
        <w:rPr>
          <w:rFonts w:ascii="Times New Roman" w:hAnsi="Times New Roman" w:cs="Times New Roman"/>
          <w:lang w:bidi="it-IT"/>
        </w:rPr>
        <w:t>superiore a quella</w:t>
      </w:r>
      <w:r w:rsidR="00420DEC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dell'antagonista </w:t>
      </w:r>
      <w:r w:rsidR="00420DEC">
        <w:rPr>
          <w:rFonts w:ascii="Times New Roman" w:hAnsi="Times New Roman" w:cs="Times New Roman"/>
          <w:lang w:bidi="it-IT"/>
        </w:rPr>
        <w:t>de</w:t>
      </w:r>
      <w:r w:rsidR="00B77855">
        <w:rPr>
          <w:rFonts w:ascii="Times New Roman" w:hAnsi="Times New Roman" w:cs="Times New Roman"/>
          <w:lang w:bidi="it-IT"/>
        </w:rPr>
        <w:t>l</w:t>
      </w:r>
      <w:r w:rsidR="00420DEC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>recettor</w:t>
      </w:r>
      <w:r w:rsidR="00B77855">
        <w:rPr>
          <w:rFonts w:ascii="Times New Roman" w:hAnsi="Times New Roman" w:cs="Times New Roman"/>
          <w:lang w:bidi="it-IT"/>
        </w:rPr>
        <w:t>e</w:t>
      </w:r>
      <w:r w:rsidRPr="005A042B">
        <w:rPr>
          <w:rFonts w:ascii="Times New Roman" w:hAnsi="Times New Roman" w:cs="Times New Roman"/>
          <w:lang w:bidi="it-IT"/>
        </w:rPr>
        <w:t xml:space="preserve"> degli oppioidi. La somministrazione di un antagonista sui recettori degli oppioidi non sostituisce il monitoraggio continuo delle vie aeree, della respirazione e della </w:t>
      </w:r>
      <w:r w:rsidR="00420DEC">
        <w:rPr>
          <w:rFonts w:ascii="Times New Roman" w:hAnsi="Times New Roman" w:cs="Times New Roman"/>
          <w:lang w:bidi="it-IT"/>
        </w:rPr>
        <w:t>funzione cardiovascolare</w:t>
      </w:r>
      <w:r w:rsidRPr="005A042B">
        <w:rPr>
          <w:rFonts w:ascii="Times New Roman" w:hAnsi="Times New Roman" w:cs="Times New Roman"/>
          <w:lang w:bidi="it-IT"/>
        </w:rPr>
        <w:t xml:space="preserve"> in seguito a un sovradosaggio di oppioidi. Se la risposta agli antagonisti sui recettori degli oppioidi è subottimale o solo di breve durata, </w:t>
      </w:r>
      <w:r w:rsidR="00D1421A" w:rsidRPr="005A042B">
        <w:rPr>
          <w:rFonts w:ascii="Times New Roman" w:hAnsi="Times New Roman" w:cs="Times New Roman"/>
          <w:lang w:bidi="it-IT"/>
        </w:rPr>
        <w:t xml:space="preserve">deve essere somministrata </w:t>
      </w:r>
      <w:r w:rsidRPr="005A042B">
        <w:rPr>
          <w:rFonts w:ascii="Times New Roman" w:hAnsi="Times New Roman" w:cs="Times New Roman"/>
          <w:lang w:bidi="it-IT"/>
        </w:rPr>
        <w:t xml:space="preserve">una dose aggiuntiva di antagonista (ad es. naloxone) come indicato dal produttore. </w:t>
      </w:r>
    </w:p>
    <w:p w14:paraId="694B86D8" w14:textId="13DDB97D" w:rsidR="003761E0" w:rsidRDefault="003761E0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lastRenderedPageBreak/>
        <w:t xml:space="preserve">La decontaminazione gastrointestinale può essere contemplata per eliminare il principio attivo non assorbito. La decontaminazione gastrointestinale con carbone attivo o tramite lavanda gastrica può essere presa in considerazione entro 2 ore dall'assunzione. Prima di tentare la decontaminazione gastrointestinale, </w:t>
      </w:r>
      <w:r w:rsidR="00E16769" w:rsidRPr="00E16769">
        <w:rPr>
          <w:rFonts w:ascii="Times New Roman" w:hAnsi="Times New Roman" w:cs="Times New Roman"/>
          <w:lang w:bidi="it-IT"/>
        </w:rPr>
        <w:t>bisogna prestare attenzione a garantire la pervietà delle vie aeree.</w:t>
      </w:r>
    </w:p>
    <w:p w14:paraId="6184E565" w14:textId="77777777" w:rsidR="00931244" w:rsidRDefault="00931244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</w:p>
    <w:p w14:paraId="426130FA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66F72BE9" w14:textId="1C83B493" w:rsidR="003761E0" w:rsidRPr="00B1724D" w:rsidRDefault="003761E0" w:rsidP="00B1724D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5.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PROPRIETÀ FARMACOLOGICHE </w:t>
      </w:r>
    </w:p>
    <w:p w14:paraId="25A0C622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35C72B2" w14:textId="03B3356F" w:rsidR="003761E0" w:rsidRPr="00B1724D" w:rsidRDefault="003761E0" w:rsidP="00B1724D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5.1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Proprietà farmacodinamiche </w:t>
      </w:r>
    </w:p>
    <w:p w14:paraId="23DDBBA1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CA8E376" w14:textId="71E3C9C6" w:rsidR="003761E0" w:rsidRPr="00721B44" w:rsidRDefault="00027417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lang w:bidi="it-IT"/>
        </w:rPr>
        <w:t>Categoria</w:t>
      </w:r>
      <w:r w:rsidR="003761E0"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="003761E0" w:rsidRPr="005A042B">
        <w:rPr>
          <w:rFonts w:ascii="Times New Roman" w:hAnsi="Times New Roman" w:cs="Times New Roman"/>
          <w:lang w:bidi="it-IT"/>
        </w:rPr>
        <w:t>farmacoterapeutic</w:t>
      </w:r>
      <w:r>
        <w:rPr>
          <w:rFonts w:ascii="Times New Roman" w:hAnsi="Times New Roman" w:cs="Times New Roman"/>
          <w:lang w:bidi="it-IT"/>
        </w:rPr>
        <w:t>a</w:t>
      </w:r>
      <w:proofErr w:type="spellEnd"/>
      <w:r w:rsidR="003761E0" w:rsidRPr="005A042B">
        <w:rPr>
          <w:rFonts w:ascii="Times New Roman" w:hAnsi="Times New Roman" w:cs="Times New Roman"/>
          <w:lang w:bidi="it-IT"/>
        </w:rPr>
        <w:t xml:space="preserve">: Analgesici; oppioidi; altri oppioidi </w:t>
      </w:r>
    </w:p>
    <w:p w14:paraId="762B2D09" w14:textId="47D72879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Codice ATC: N02AX06 </w:t>
      </w:r>
    </w:p>
    <w:p w14:paraId="24387410" w14:textId="77777777" w:rsidR="003761E0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263174A" w14:textId="58B7EC61" w:rsidR="000D633C" w:rsidRPr="00721B44" w:rsidRDefault="003761E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Il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è un </w:t>
      </w:r>
      <w:r w:rsidR="000E40F1">
        <w:rPr>
          <w:rFonts w:ascii="Times New Roman" w:hAnsi="Times New Roman" w:cs="Times New Roman"/>
          <w:lang w:bidi="it-IT"/>
        </w:rPr>
        <w:t>potente</w:t>
      </w:r>
      <w:r w:rsidR="000E40F1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analgesico con </w:t>
      </w:r>
      <w:r w:rsidRPr="00CA62DF">
        <w:rPr>
          <w:rFonts w:ascii="Times New Roman" w:hAnsi="Times New Roman" w:cs="Times New Roman"/>
          <w:lang w:bidi="it-IT"/>
        </w:rPr>
        <w:t xml:space="preserve">proprietà </w:t>
      </w:r>
      <w:r w:rsidRPr="00796A07">
        <w:rPr>
          <w:rFonts w:ascii="Times New Roman" w:hAnsi="Times New Roman" w:cs="Times New Roman"/>
          <w:lang w:bidi="it-IT"/>
        </w:rPr>
        <w:t>agoniste</w:t>
      </w:r>
      <w:r w:rsidRPr="00CA62DF">
        <w:rPr>
          <w:rFonts w:ascii="Times New Roman" w:hAnsi="Times New Roman" w:cs="Times New Roman"/>
          <w:lang w:bidi="it-IT"/>
        </w:rPr>
        <w:t xml:space="preserve"> dei</w:t>
      </w:r>
      <w:r w:rsidRPr="005A042B">
        <w:rPr>
          <w:rFonts w:ascii="Times New Roman" w:hAnsi="Times New Roman" w:cs="Times New Roman"/>
          <w:lang w:bidi="it-IT"/>
        </w:rPr>
        <w:t xml:space="preserve"> μ-oppioidi e di inibizione aggiuntiva della ricaptazione della noradrenalina. Il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esercita i suoi effetti analgesici in modo diretto senza un</w:t>
      </w:r>
      <w:r w:rsidR="00B90468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metabolita farmacologicamente attivo. </w:t>
      </w:r>
    </w:p>
    <w:p w14:paraId="36638216" w14:textId="77777777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62678D8" w14:textId="0D15A87D" w:rsidR="00931244" w:rsidRPr="00721B44" w:rsidRDefault="00471E7E" w:rsidP="00C733B3">
      <w:pPr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Effetti sul sistema cardiovascolare: In uno studio </w:t>
      </w:r>
      <w:r w:rsidR="00121402">
        <w:rPr>
          <w:rFonts w:ascii="Times New Roman" w:hAnsi="Times New Roman" w:cs="Times New Roman"/>
          <w:lang w:bidi="it-IT"/>
        </w:rPr>
        <w:t xml:space="preserve">accurato </w:t>
      </w:r>
      <w:r w:rsidRPr="005A042B">
        <w:rPr>
          <w:rFonts w:ascii="Times New Roman" w:hAnsi="Times New Roman" w:cs="Times New Roman"/>
          <w:lang w:bidi="it-IT"/>
        </w:rPr>
        <w:t>sul QT nell'uomo, non è stato dimostrato</w:t>
      </w:r>
      <w:r w:rsidR="00AC0237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alcun effetto di dosi multiple terapeutiche e </w:t>
      </w:r>
      <w:proofErr w:type="spellStart"/>
      <w:r w:rsidRPr="005A042B">
        <w:rPr>
          <w:rFonts w:ascii="Times New Roman" w:hAnsi="Times New Roman" w:cs="Times New Roman"/>
          <w:lang w:bidi="it-IT"/>
        </w:rPr>
        <w:t>sovraterapeutiche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sull'intervallo QT. Allo stesso modo, il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non ha avuto effetti rilevanti su altri parametri ECG (frequenza cardiaca, intervallo PR, durata del QRS, morfologia delle onde T o U).</w:t>
      </w:r>
    </w:p>
    <w:p w14:paraId="29E1CA9C" w14:textId="77777777" w:rsidR="00931244" w:rsidRDefault="00931244" w:rsidP="00B1724D">
      <w:pPr>
        <w:spacing w:after="0" w:line="240" w:lineRule="auto"/>
        <w:rPr>
          <w:rFonts w:ascii="Times New Roman" w:hAnsi="Times New Roman"/>
          <w:color w:val="000000"/>
        </w:rPr>
      </w:pPr>
    </w:p>
    <w:p w14:paraId="49E4B72E" w14:textId="77777777" w:rsidR="00471E7E" w:rsidRPr="00721B44" w:rsidRDefault="00471E7E" w:rsidP="00B1724D">
      <w:pPr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i/>
          <w:lang w:bidi="it-IT"/>
        </w:rPr>
        <w:t xml:space="preserve">Popolazione pediatrica </w:t>
      </w:r>
    </w:p>
    <w:p w14:paraId="66542C49" w14:textId="234586E7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L'Agenzia Europea </w:t>
      </w:r>
      <w:r w:rsidR="0005534E">
        <w:rPr>
          <w:rFonts w:ascii="Times New Roman" w:hAnsi="Times New Roman" w:cs="Times New Roman"/>
          <w:lang w:bidi="it-IT"/>
        </w:rPr>
        <w:t>dei</w:t>
      </w:r>
      <w:r w:rsidRPr="005A042B">
        <w:rPr>
          <w:rFonts w:ascii="Times New Roman" w:hAnsi="Times New Roman" w:cs="Times New Roman"/>
          <w:lang w:bidi="it-IT"/>
        </w:rPr>
        <w:t xml:space="preserve"> Medicinali ha </w:t>
      </w:r>
      <w:r w:rsidR="00194563">
        <w:rPr>
          <w:rFonts w:ascii="Times New Roman" w:hAnsi="Times New Roman" w:cs="Times New Roman"/>
          <w:lang w:bidi="it-IT"/>
        </w:rPr>
        <w:t>prorogato</w:t>
      </w:r>
      <w:r w:rsidR="00194563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l'obbligo di presentare i risultati degli studi </w:t>
      </w:r>
      <w:r w:rsidR="0098512E">
        <w:rPr>
          <w:rFonts w:ascii="Times New Roman" w:hAnsi="Times New Roman" w:cs="Times New Roman"/>
          <w:lang w:bidi="it-IT"/>
        </w:rPr>
        <w:t xml:space="preserve">condotti </w:t>
      </w:r>
      <w:r w:rsidR="00194563">
        <w:rPr>
          <w:rFonts w:ascii="Times New Roman" w:hAnsi="Times New Roman" w:cs="Times New Roman"/>
          <w:lang w:bidi="it-IT"/>
        </w:rPr>
        <w:t xml:space="preserve">con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</w:t>
      </w:r>
      <w:r w:rsidR="00194563">
        <w:rPr>
          <w:rFonts w:ascii="Times New Roman" w:hAnsi="Times New Roman" w:cs="Times New Roman"/>
          <w:lang w:bidi="it-IT"/>
        </w:rPr>
        <w:t xml:space="preserve">in </w:t>
      </w:r>
      <w:r w:rsidR="00194563" w:rsidRPr="005A042B">
        <w:rPr>
          <w:rFonts w:ascii="Times New Roman" w:hAnsi="Times New Roman" w:cs="Times New Roman"/>
          <w:lang w:bidi="it-IT"/>
        </w:rPr>
        <w:t xml:space="preserve">compresse a rilascio prolungato </w:t>
      </w:r>
      <w:r w:rsidR="0098512E">
        <w:rPr>
          <w:rFonts w:ascii="Times New Roman" w:hAnsi="Times New Roman" w:cs="Times New Roman"/>
          <w:lang w:bidi="it-IT"/>
        </w:rPr>
        <w:t xml:space="preserve">sul </w:t>
      </w:r>
      <w:r w:rsidR="0098512E" w:rsidRPr="005A042B">
        <w:rPr>
          <w:rFonts w:ascii="Times New Roman" w:hAnsi="Times New Roman" w:cs="Times New Roman"/>
          <w:lang w:bidi="it-IT"/>
        </w:rPr>
        <w:t xml:space="preserve">dolore cronico grave </w:t>
      </w:r>
      <w:r w:rsidRPr="005A042B">
        <w:rPr>
          <w:rFonts w:ascii="Times New Roman" w:hAnsi="Times New Roman" w:cs="Times New Roman"/>
          <w:lang w:bidi="it-IT"/>
        </w:rPr>
        <w:t xml:space="preserve">in tutte le </w:t>
      </w:r>
      <w:r w:rsidR="00FB186F">
        <w:rPr>
          <w:rFonts w:ascii="Times New Roman" w:hAnsi="Times New Roman" w:cs="Times New Roman"/>
          <w:lang w:bidi="it-IT"/>
        </w:rPr>
        <w:t>fasce d’età</w:t>
      </w:r>
      <w:r w:rsidRPr="005A042B">
        <w:rPr>
          <w:rFonts w:ascii="Times New Roman" w:hAnsi="Times New Roman" w:cs="Times New Roman"/>
          <w:lang w:bidi="it-IT"/>
        </w:rPr>
        <w:t xml:space="preserve"> pediatriche. </w:t>
      </w:r>
    </w:p>
    <w:p w14:paraId="3E27F7D0" w14:textId="41B75BAD" w:rsidR="00471E7E" w:rsidRDefault="00471E7E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>Vedere il paragrafo 4.2 per informazioni sull'uso pediatrico.</w:t>
      </w:r>
    </w:p>
    <w:p w14:paraId="1CF6DCD3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5429766D" w14:textId="3D551CEA" w:rsidR="00755C40" w:rsidRPr="00721B44" w:rsidRDefault="00755C40" w:rsidP="00C733B3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5A042B">
        <w:rPr>
          <w:rFonts w:ascii="Times New Roman" w:hAnsi="Times New Roman" w:cs="Times New Roman"/>
          <w:i/>
          <w:lang w:bidi="it-IT"/>
        </w:rPr>
        <w:t xml:space="preserve">Dati </w:t>
      </w:r>
      <w:r w:rsidR="00304E8A">
        <w:rPr>
          <w:rFonts w:ascii="Times New Roman" w:hAnsi="Times New Roman" w:cs="Times New Roman"/>
          <w:i/>
          <w:lang w:bidi="it-IT"/>
        </w:rPr>
        <w:t>post-marketing</w:t>
      </w:r>
      <w:r w:rsidRPr="005A042B">
        <w:rPr>
          <w:rFonts w:ascii="Times New Roman" w:hAnsi="Times New Roman" w:cs="Times New Roman"/>
          <w:i/>
          <w:lang w:bidi="it-IT"/>
        </w:rPr>
        <w:t xml:space="preserve"> </w:t>
      </w:r>
    </w:p>
    <w:p w14:paraId="05998523" w14:textId="0543246A" w:rsidR="00755C40" w:rsidRPr="00721B44" w:rsidRDefault="00755C40" w:rsidP="00C733B3">
      <w:pPr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Sono stati eseguiti due studi dopo l’immissione in commercio per valutare l'uso </w:t>
      </w:r>
      <w:r w:rsidR="00304E8A">
        <w:rPr>
          <w:rFonts w:ascii="Times New Roman" w:hAnsi="Times New Roman" w:cs="Times New Roman"/>
          <w:lang w:bidi="it-IT"/>
        </w:rPr>
        <w:t>pratico</w:t>
      </w:r>
      <w:r w:rsidR="00304E8A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del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>.</w:t>
      </w:r>
    </w:p>
    <w:p w14:paraId="133C7518" w14:textId="08F20FCE" w:rsidR="00755C40" w:rsidRPr="00721B44" w:rsidRDefault="00755C40" w:rsidP="00C733B3">
      <w:pPr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L'efficacia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</w:t>
      </w:r>
      <w:r w:rsidR="005522A9" w:rsidRPr="005A042B">
        <w:rPr>
          <w:rFonts w:ascii="Times New Roman" w:hAnsi="Times New Roman" w:cs="Times New Roman"/>
          <w:lang w:bidi="it-IT"/>
        </w:rPr>
        <w:t xml:space="preserve">compresse a rilascio prolungato </w:t>
      </w:r>
      <w:r w:rsidRPr="005A042B">
        <w:rPr>
          <w:rFonts w:ascii="Times New Roman" w:hAnsi="Times New Roman" w:cs="Times New Roman"/>
          <w:lang w:bidi="it-IT"/>
        </w:rPr>
        <w:t xml:space="preserve">è stata verificata in uno studio multicentrico, randomizzato, in doppio cieco, a gruppi paralleli, su pazienti affetti da </w:t>
      </w:r>
      <w:r w:rsidR="005522A9">
        <w:rPr>
          <w:rFonts w:ascii="Times New Roman" w:hAnsi="Times New Roman" w:cs="Times New Roman"/>
          <w:lang w:bidi="it-IT"/>
        </w:rPr>
        <w:t xml:space="preserve">dolore </w:t>
      </w:r>
      <w:r w:rsidRPr="005A042B">
        <w:rPr>
          <w:rFonts w:ascii="Times New Roman" w:hAnsi="Times New Roman" w:cs="Times New Roman"/>
          <w:lang w:bidi="it-IT"/>
        </w:rPr>
        <w:t>lomb</w:t>
      </w:r>
      <w:r w:rsidR="005522A9">
        <w:rPr>
          <w:rFonts w:ascii="Times New Roman" w:hAnsi="Times New Roman" w:cs="Times New Roman"/>
          <w:lang w:bidi="it-IT"/>
        </w:rPr>
        <w:t>osacrale</w:t>
      </w:r>
      <w:r w:rsidRPr="005A042B">
        <w:rPr>
          <w:rFonts w:ascii="Times New Roman" w:hAnsi="Times New Roman" w:cs="Times New Roman"/>
          <w:lang w:bidi="it-IT"/>
        </w:rPr>
        <w:t xml:space="preserve"> con componente neuropatica (KF5503/58). La riduzione dell'intensità media del dolore è stata simile nel gruppo di trattamento con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e nel gruppo di trattamento di confronto, che ha ricevuto una combinazione di </w:t>
      </w:r>
      <w:proofErr w:type="spellStart"/>
      <w:r w:rsidR="00765322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765322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>compresse a rilascio prolungato</w:t>
      </w:r>
      <w:r w:rsidR="00765322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e </w:t>
      </w:r>
      <w:proofErr w:type="spellStart"/>
      <w:r w:rsidR="00765322" w:rsidRPr="005A042B">
        <w:rPr>
          <w:rFonts w:ascii="Times New Roman" w:hAnsi="Times New Roman" w:cs="Times New Roman"/>
          <w:lang w:bidi="it-IT"/>
        </w:rPr>
        <w:t>pregabalin</w:t>
      </w:r>
      <w:proofErr w:type="spellEnd"/>
      <w:r w:rsidR="00765322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>compresse a rilascio immediato.</w:t>
      </w:r>
    </w:p>
    <w:p w14:paraId="3244D996" w14:textId="311CECCD" w:rsidR="00471E7E" w:rsidRDefault="00755C40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 xml:space="preserve">In uno studio </w:t>
      </w:r>
      <w:r w:rsidR="00EB1DCC">
        <w:rPr>
          <w:rFonts w:ascii="Times New Roman" w:hAnsi="Times New Roman" w:cs="Times New Roman"/>
          <w:lang w:bidi="it-IT"/>
        </w:rPr>
        <w:t xml:space="preserve">clinico </w:t>
      </w:r>
      <w:r w:rsidRPr="005A042B">
        <w:rPr>
          <w:rFonts w:ascii="Times New Roman" w:hAnsi="Times New Roman" w:cs="Times New Roman"/>
          <w:lang w:bidi="it-IT"/>
        </w:rPr>
        <w:t xml:space="preserve">in aperto, multicentrico, randomizzato su pazienti con </w:t>
      </w:r>
      <w:r w:rsidR="00FE466E">
        <w:rPr>
          <w:rFonts w:ascii="Times New Roman" w:hAnsi="Times New Roman" w:cs="Times New Roman"/>
          <w:lang w:bidi="it-IT"/>
        </w:rPr>
        <w:t xml:space="preserve">dolore lombo-sacrale </w:t>
      </w:r>
      <w:r w:rsidRPr="005A042B">
        <w:rPr>
          <w:rFonts w:ascii="Times New Roman" w:hAnsi="Times New Roman" w:cs="Times New Roman"/>
          <w:lang w:bidi="it-IT"/>
        </w:rPr>
        <w:t xml:space="preserve">cronico </w:t>
      </w:r>
      <w:r w:rsidR="00FE466E">
        <w:rPr>
          <w:rFonts w:ascii="Times New Roman" w:hAnsi="Times New Roman" w:cs="Times New Roman"/>
          <w:lang w:bidi="it-IT"/>
        </w:rPr>
        <w:t xml:space="preserve">di grado severo </w:t>
      </w:r>
      <w:r w:rsidRPr="005A042B">
        <w:rPr>
          <w:rFonts w:ascii="Times New Roman" w:hAnsi="Times New Roman" w:cs="Times New Roman"/>
          <w:lang w:bidi="it-IT"/>
        </w:rPr>
        <w:t xml:space="preserve">con componente neuropatica (KF5503/60), </w:t>
      </w:r>
      <w:proofErr w:type="spellStart"/>
      <w:r w:rsidR="00FE466E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FE466E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compresse a rilascio prolungato </w:t>
      </w:r>
      <w:r w:rsidR="00FE466E">
        <w:rPr>
          <w:rFonts w:ascii="Times New Roman" w:hAnsi="Times New Roman" w:cs="Times New Roman"/>
          <w:lang w:bidi="it-IT"/>
        </w:rPr>
        <w:t>è</w:t>
      </w:r>
      <w:r w:rsidRPr="005A042B">
        <w:rPr>
          <w:rFonts w:ascii="Times New Roman" w:hAnsi="Times New Roman" w:cs="Times New Roman"/>
          <w:lang w:bidi="it-IT"/>
        </w:rPr>
        <w:t xml:space="preserve"> stat</w:t>
      </w:r>
      <w:r w:rsidR="00FE466E">
        <w:rPr>
          <w:rFonts w:ascii="Times New Roman" w:hAnsi="Times New Roman" w:cs="Times New Roman"/>
          <w:lang w:bidi="it-IT"/>
        </w:rPr>
        <w:t>o</w:t>
      </w:r>
      <w:r w:rsidRPr="005A042B">
        <w:rPr>
          <w:rFonts w:ascii="Times New Roman" w:hAnsi="Times New Roman" w:cs="Times New Roman"/>
          <w:lang w:bidi="it-IT"/>
        </w:rPr>
        <w:t xml:space="preserve"> associat</w:t>
      </w:r>
      <w:r w:rsidR="00FE466E">
        <w:rPr>
          <w:rFonts w:ascii="Times New Roman" w:hAnsi="Times New Roman" w:cs="Times New Roman"/>
          <w:lang w:bidi="it-IT"/>
        </w:rPr>
        <w:t>o</w:t>
      </w:r>
      <w:r w:rsidRPr="005A042B">
        <w:rPr>
          <w:rFonts w:ascii="Times New Roman" w:hAnsi="Times New Roman" w:cs="Times New Roman"/>
          <w:lang w:bidi="it-IT"/>
        </w:rPr>
        <w:t xml:space="preserve"> a riduzioni significative dell'intensità media del dolore.</w:t>
      </w:r>
    </w:p>
    <w:p w14:paraId="458242C6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2CB0559A" w14:textId="12ED69A0" w:rsidR="00471E7E" w:rsidRPr="00B1724D" w:rsidRDefault="00471E7E" w:rsidP="00B1724D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5A042B">
        <w:rPr>
          <w:rFonts w:ascii="Times New Roman" w:hAnsi="Times New Roman" w:cs="Times New Roman"/>
          <w:b/>
          <w:lang w:bidi="it-IT"/>
        </w:rPr>
        <w:t>5.2</w:t>
      </w:r>
      <w:r w:rsidR="00931244">
        <w:rPr>
          <w:rFonts w:ascii="Times New Roman" w:hAnsi="Times New Roman" w:cs="Times New Roman"/>
          <w:b/>
          <w:lang w:bidi="it-IT"/>
        </w:rPr>
        <w:tab/>
      </w:r>
      <w:r w:rsidRPr="005A042B">
        <w:rPr>
          <w:rFonts w:ascii="Times New Roman" w:hAnsi="Times New Roman" w:cs="Times New Roman"/>
          <w:b/>
          <w:lang w:bidi="it-IT"/>
        </w:rPr>
        <w:t xml:space="preserve">Proprietà farmacocinetiche </w:t>
      </w:r>
    </w:p>
    <w:p w14:paraId="45A25701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D0B46A" w14:textId="77777777" w:rsidR="00471E7E" w:rsidRPr="00B1724D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B1724D">
        <w:rPr>
          <w:rFonts w:ascii="Times New Roman" w:hAnsi="Times New Roman" w:cs="Times New Roman"/>
          <w:u w:val="single"/>
          <w:lang w:bidi="it-IT"/>
        </w:rPr>
        <w:t xml:space="preserve">Assorbimento </w:t>
      </w:r>
    </w:p>
    <w:p w14:paraId="78A5F436" w14:textId="57786D8C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La biodisponibilità media </w:t>
      </w:r>
      <w:r w:rsidR="00987E16" w:rsidRPr="005A042B">
        <w:rPr>
          <w:rFonts w:ascii="Times New Roman" w:hAnsi="Times New Roman" w:cs="Times New Roman"/>
          <w:lang w:bidi="it-IT"/>
        </w:rPr>
        <w:t xml:space="preserve">assoluta di </w:t>
      </w:r>
      <w:proofErr w:type="spellStart"/>
      <w:r w:rsidR="00987E16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987E16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dopo somministrazione di una singola dose (a digiuno) è di circa il 32% a causa di un esteso metabolismo di primo passaggio. Le concentrazioni sieriche </w:t>
      </w:r>
      <w:r w:rsidR="00987E16" w:rsidRPr="005A042B">
        <w:rPr>
          <w:rFonts w:ascii="Times New Roman" w:hAnsi="Times New Roman" w:cs="Times New Roman"/>
          <w:lang w:bidi="it-IT"/>
        </w:rPr>
        <w:t xml:space="preserve">massime </w:t>
      </w:r>
      <w:r w:rsidRPr="005A042B">
        <w:rPr>
          <w:rFonts w:ascii="Times New Roman" w:hAnsi="Times New Roman" w:cs="Times New Roman"/>
          <w:lang w:bidi="it-IT"/>
        </w:rPr>
        <w:t xml:space="preserve">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si osservano tra le 3 e le 6 ore dopo la somministrazione di compresse a rilascio prolungato. </w:t>
      </w:r>
    </w:p>
    <w:p w14:paraId="3443768A" w14:textId="325459F5" w:rsidR="008D5937" w:rsidRPr="00D2381A" w:rsidRDefault="00924EA5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lang w:bidi="it-IT"/>
        </w:rPr>
        <w:t xml:space="preserve">In seguito </w:t>
      </w:r>
      <w:r w:rsidR="009A4430">
        <w:rPr>
          <w:rFonts w:ascii="Times New Roman" w:hAnsi="Times New Roman" w:cs="Times New Roman"/>
          <w:lang w:bidi="it-IT"/>
        </w:rPr>
        <w:t xml:space="preserve">a </w:t>
      </w:r>
      <w:r w:rsidR="009A4430" w:rsidRPr="005A042B">
        <w:rPr>
          <w:rFonts w:ascii="Times New Roman" w:hAnsi="Times New Roman" w:cs="Times New Roman"/>
          <w:lang w:bidi="it-IT"/>
        </w:rPr>
        <w:t>somministrazione delle compresse a rilascio prolungato</w:t>
      </w:r>
      <w:r w:rsidR="003C01C8">
        <w:rPr>
          <w:rFonts w:ascii="Times New Roman" w:hAnsi="Times New Roman" w:cs="Times New Roman"/>
          <w:lang w:bidi="it-IT"/>
        </w:rPr>
        <w:t xml:space="preserve"> </w:t>
      </w:r>
      <w:r w:rsidR="009A4430" w:rsidRPr="005A042B">
        <w:rPr>
          <w:rFonts w:ascii="Times New Roman" w:hAnsi="Times New Roman" w:cs="Times New Roman"/>
          <w:lang w:bidi="it-IT"/>
        </w:rPr>
        <w:t xml:space="preserve">sono stati osservati </w:t>
      </w:r>
      <w:r w:rsidR="009A4430">
        <w:rPr>
          <w:rFonts w:ascii="Times New Roman" w:hAnsi="Times New Roman" w:cs="Times New Roman"/>
          <w:lang w:bidi="it-IT"/>
        </w:rPr>
        <w:t>a</w:t>
      </w:r>
      <w:r w:rsidR="00471E7E" w:rsidRPr="005A042B">
        <w:rPr>
          <w:rFonts w:ascii="Times New Roman" w:hAnsi="Times New Roman" w:cs="Times New Roman"/>
          <w:lang w:bidi="it-IT"/>
        </w:rPr>
        <w:t xml:space="preserve">umenti </w:t>
      </w:r>
      <w:r w:rsidR="008D5937">
        <w:rPr>
          <w:rFonts w:ascii="Times New Roman" w:hAnsi="Times New Roman" w:cs="Times New Roman"/>
          <w:lang w:bidi="it-IT"/>
        </w:rPr>
        <w:t xml:space="preserve">dei valori di </w:t>
      </w:r>
      <w:r w:rsidR="00471E7E" w:rsidRPr="005A042B">
        <w:rPr>
          <w:rFonts w:ascii="Times New Roman" w:hAnsi="Times New Roman" w:cs="Times New Roman"/>
          <w:lang w:bidi="it-IT"/>
        </w:rPr>
        <w:t>AUC (il parametro di esposizione più rilevante per le formulazioni a rilascio prolungato)</w:t>
      </w:r>
      <w:r w:rsidR="008D5937" w:rsidRPr="008D5937">
        <w:t xml:space="preserve"> </w:t>
      </w:r>
      <w:r w:rsidR="008D5937" w:rsidRPr="008D5937">
        <w:rPr>
          <w:rFonts w:ascii="Times New Roman" w:hAnsi="Times New Roman" w:cs="Times New Roman"/>
          <w:lang w:bidi="it-IT"/>
        </w:rPr>
        <w:t>proporzionali alle dosi somministrate, per tutto il range di dosi terapeutiche.</w:t>
      </w:r>
    </w:p>
    <w:p w14:paraId="6440C660" w14:textId="165281D1" w:rsidR="00471E7E" w:rsidRDefault="00471E7E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 xml:space="preserve">Uno studio a dosi multiple </w:t>
      </w:r>
      <w:r w:rsidR="006D0C49">
        <w:rPr>
          <w:rFonts w:ascii="Times New Roman" w:hAnsi="Times New Roman" w:cs="Times New Roman"/>
          <w:lang w:bidi="it-IT"/>
        </w:rPr>
        <w:t xml:space="preserve">in cui </w:t>
      </w:r>
      <w:proofErr w:type="spellStart"/>
      <w:r w:rsidR="006D0C49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6D0C49" w:rsidRPr="005A042B">
        <w:rPr>
          <w:rFonts w:ascii="Times New Roman" w:hAnsi="Times New Roman" w:cs="Times New Roman"/>
          <w:lang w:bidi="it-IT"/>
        </w:rPr>
        <w:t xml:space="preserve"> in compresse a rilascio prolungato </w:t>
      </w:r>
      <w:r w:rsidR="006D0C49">
        <w:rPr>
          <w:rFonts w:ascii="Times New Roman" w:hAnsi="Times New Roman" w:cs="Times New Roman"/>
          <w:lang w:bidi="it-IT"/>
        </w:rPr>
        <w:t xml:space="preserve">è stato </w:t>
      </w:r>
      <w:r w:rsidR="006D0C49" w:rsidRPr="005A042B">
        <w:rPr>
          <w:rFonts w:ascii="Times New Roman" w:hAnsi="Times New Roman" w:cs="Times New Roman"/>
          <w:lang w:bidi="it-IT"/>
        </w:rPr>
        <w:t>somministrato</w:t>
      </w:r>
      <w:r w:rsidR="006D0C49">
        <w:rPr>
          <w:rFonts w:ascii="Times New Roman" w:hAnsi="Times New Roman" w:cs="Times New Roman"/>
          <w:lang w:bidi="it-IT"/>
        </w:rPr>
        <w:t xml:space="preserve"> a dosi di </w:t>
      </w:r>
      <w:r w:rsidR="006D0C49" w:rsidRPr="005A042B">
        <w:rPr>
          <w:rFonts w:ascii="Times New Roman" w:hAnsi="Times New Roman" w:cs="Times New Roman"/>
          <w:lang w:bidi="it-IT"/>
        </w:rPr>
        <w:t xml:space="preserve">86 mg e 172 mg </w:t>
      </w:r>
      <w:r w:rsidRPr="005A042B">
        <w:rPr>
          <w:rFonts w:ascii="Times New Roman" w:hAnsi="Times New Roman" w:cs="Times New Roman"/>
          <w:lang w:bidi="it-IT"/>
        </w:rPr>
        <w:t>due volte al giorno</w:t>
      </w:r>
      <w:r w:rsidR="006D0C49">
        <w:rPr>
          <w:rFonts w:ascii="Times New Roman" w:hAnsi="Times New Roman" w:cs="Times New Roman"/>
          <w:lang w:bidi="it-IT"/>
        </w:rPr>
        <w:t>,</w:t>
      </w:r>
      <w:r w:rsidRPr="005A042B">
        <w:rPr>
          <w:rFonts w:ascii="Times New Roman" w:hAnsi="Times New Roman" w:cs="Times New Roman"/>
          <w:lang w:bidi="it-IT"/>
        </w:rPr>
        <w:t xml:space="preserve"> ha mostrato un </w:t>
      </w:r>
      <w:r w:rsidR="006D0C49">
        <w:rPr>
          <w:rFonts w:ascii="Times New Roman" w:hAnsi="Times New Roman" w:cs="Times New Roman"/>
          <w:lang w:bidi="it-IT"/>
        </w:rPr>
        <w:t>rapporto</w:t>
      </w:r>
      <w:r w:rsidR="006D0C49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di accumulo di circa 1,5 per il principio attivo </w:t>
      </w:r>
      <w:proofErr w:type="spellStart"/>
      <w:r w:rsidRPr="00796A07">
        <w:rPr>
          <w:rFonts w:ascii="Times New Roman" w:hAnsi="Times New Roman" w:cs="Times New Roman"/>
          <w:lang w:bidi="it-IT"/>
        </w:rPr>
        <w:t>p</w:t>
      </w:r>
      <w:r w:rsidR="00DE277D" w:rsidRPr="008D5937">
        <w:rPr>
          <w:rFonts w:ascii="Times New Roman" w:hAnsi="Times New Roman" w:cs="Times New Roman"/>
          <w:lang w:bidi="it-IT"/>
        </w:rPr>
        <w:t>arent</w:t>
      </w:r>
      <w:proofErr w:type="spellEnd"/>
      <w:r w:rsidR="00DE277D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che è determinato principalmente dall'intervallo di dosaggio e dall'emivita apparente del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>.</w:t>
      </w:r>
    </w:p>
    <w:p w14:paraId="00C1E9D5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7FF0A6D0" w14:textId="4E3C7784" w:rsidR="00931244" w:rsidRPr="00B1724D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bidi="it-IT"/>
        </w:rPr>
      </w:pPr>
      <w:r w:rsidRPr="005A042B">
        <w:rPr>
          <w:rFonts w:ascii="Times New Roman" w:hAnsi="Times New Roman" w:cs="Times New Roman"/>
          <w:i/>
          <w:lang w:bidi="it-IT"/>
        </w:rPr>
        <w:t xml:space="preserve">Effetto del cibo </w:t>
      </w:r>
    </w:p>
    <w:p w14:paraId="44CF7B1D" w14:textId="66BA4574" w:rsidR="00471E7E" w:rsidRPr="00721B44" w:rsidRDefault="00F74AC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lang w:bidi="it-IT"/>
        </w:rPr>
        <w:lastRenderedPageBreak/>
        <w:t>Q</w:t>
      </w:r>
      <w:r w:rsidR="006F734B" w:rsidRPr="005A042B">
        <w:rPr>
          <w:rFonts w:ascii="Times New Roman" w:hAnsi="Times New Roman" w:cs="Times New Roman"/>
          <w:lang w:bidi="it-IT"/>
        </w:rPr>
        <w:t xml:space="preserve">uando le compresse a rilascio prolungato sono state somministrate dopo una colazione </w:t>
      </w:r>
      <w:r>
        <w:rPr>
          <w:rFonts w:ascii="Times New Roman" w:hAnsi="Times New Roman" w:cs="Times New Roman"/>
          <w:lang w:bidi="it-IT"/>
        </w:rPr>
        <w:t xml:space="preserve">ad alto contenuto </w:t>
      </w:r>
      <w:r w:rsidR="006F734B" w:rsidRPr="005A042B">
        <w:rPr>
          <w:rFonts w:ascii="Times New Roman" w:hAnsi="Times New Roman" w:cs="Times New Roman"/>
          <w:lang w:bidi="it-IT"/>
        </w:rPr>
        <w:t>di grassi e calorie</w:t>
      </w:r>
      <w:r>
        <w:rPr>
          <w:rFonts w:ascii="Times New Roman" w:hAnsi="Times New Roman" w:cs="Times New Roman"/>
          <w:lang w:bidi="it-IT"/>
        </w:rPr>
        <w:t xml:space="preserve">, </w:t>
      </w:r>
      <w:r w:rsidR="00432379">
        <w:rPr>
          <w:rFonts w:ascii="Times New Roman" w:hAnsi="Times New Roman" w:cs="Times New Roman"/>
          <w:lang w:bidi="it-IT"/>
        </w:rPr>
        <w:t>l</w:t>
      </w:r>
      <w:r w:rsidR="00471E7E" w:rsidRPr="005A042B">
        <w:rPr>
          <w:rFonts w:ascii="Times New Roman" w:hAnsi="Times New Roman" w:cs="Times New Roman"/>
          <w:lang w:bidi="it-IT"/>
        </w:rPr>
        <w:t>'AUC e la C</w:t>
      </w:r>
      <w:r w:rsidR="00471E7E" w:rsidRPr="005A042B">
        <w:rPr>
          <w:rFonts w:ascii="Times New Roman" w:hAnsi="Times New Roman" w:cs="Times New Roman"/>
          <w:sz w:val="20"/>
          <w:vertAlign w:val="subscript"/>
          <w:lang w:bidi="it-IT"/>
        </w:rPr>
        <w:t>max</w:t>
      </w:r>
      <w:r w:rsidR="00471E7E" w:rsidRPr="005A042B">
        <w:rPr>
          <w:rFonts w:ascii="Times New Roman" w:hAnsi="Times New Roman" w:cs="Times New Roman"/>
          <w:lang w:bidi="it-IT"/>
        </w:rPr>
        <w:t xml:space="preserve"> sono aumentate</w:t>
      </w:r>
      <w:r>
        <w:rPr>
          <w:rFonts w:ascii="Times New Roman" w:hAnsi="Times New Roman" w:cs="Times New Roman"/>
          <w:lang w:bidi="it-IT"/>
        </w:rPr>
        <w:t>,</w:t>
      </w:r>
      <w:r w:rsidR="00471E7E" w:rsidRPr="005A042B">
        <w:rPr>
          <w:rFonts w:ascii="Times New Roman" w:hAnsi="Times New Roman" w:cs="Times New Roman"/>
          <w:lang w:bidi="it-IT"/>
        </w:rPr>
        <w:t xml:space="preserve"> rispettivamente</w:t>
      </w:r>
      <w:r>
        <w:rPr>
          <w:rFonts w:ascii="Times New Roman" w:hAnsi="Times New Roman" w:cs="Times New Roman"/>
          <w:lang w:bidi="it-IT"/>
        </w:rPr>
        <w:t>,</w:t>
      </w:r>
      <w:r w:rsidR="00471E7E" w:rsidRPr="005A042B">
        <w:rPr>
          <w:rFonts w:ascii="Times New Roman" w:hAnsi="Times New Roman" w:cs="Times New Roman"/>
          <w:lang w:bidi="it-IT"/>
        </w:rPr>
        <w:t xml:space="preserve"> dell'8% e del 18%. </w:t>
      </w:r>
      <w:r>
        <w:rPr>
          <w:rFonts w:ascii="Times New Roman" w:hAnsi="Times New Roman" w:cs="Times New Roman"/>
          <w:lang w:bidi="it-IT"/>
        </w:rPr>
        <w:t>Si è ritenuto che c</w:t>
      </w:r>
      <w:r w:rsidR="00471E7E" w:rsidRPr="005A042B">
        <w:rPr>
          <w:rFonts w:ascii="Times New Roman" w:hAnsi="Times New Roman" w:cs="Times New Roman"/>
          <w:lang w:bidi="it-IT"/>
        </w:rPr>
        <w:t xml:space="preserve">iò </w:t>
      </w:r>
      <w:r>
        <w:rPr>
          <w:rFonts w:ascii="Times New Roman" w:eastAsia="Times New Roman" w:hAnsi="Times New Roman" w:cs="Times New Roman"/>
        </w:rPr>
        <w:t xml:space="preserve">non rivestisse rilevanza clinica dato che ricade </w:t>
      </w:r>
      <w:r w:rsidR="00471E7E" w:rsidRPr="005A042B">
        <w:rPr>
          <w:rFonts w:ascii="Times New Roman" w:hAnsi="Times New Roman" w:cs="Times New Roman"/>
          <w:lang w:bidi="it-IT"/>
        </w:rPr>
        <w:t>nella normale variabilità inter</w:t>
      </w:r>
      <w:r w:rsidR="00953F22">
        <w:rPr>
          <w:rFonts w:ascii="Times New Roman" w:hAnsi="Times New Roman" w:cs="Times New Roman"/>
          <w:lang w:bidi="it-IT"/>
        </w:rPr>
        <w:t>-</w:t>
      </w:r>
      <w:r w:rsidR="00471E7E" w:rsidRPr="005A042B">
        <w:rPr>
          <w:rFonts w:ascii="Times New Roman" w:hAnsi="Times New Roman" w:cs="Times New Roman"/>
          <w:lang w:bidi="it-IT"/>
        </w:rPr>
        <w:t>soggett</w:t>
      </w:r>
      <w:r>
        <w:rPr>
          <w:rFonts w:ascii="Times New Roman" w:hAnsi="Times New Roman" w:cs="Times New Roman"/>
          <w:lang w:bidi="it-IT"/>
        </w:rPr>
        <w:t>o relativa a</w:t>
      </w:r>
      <w:r w:rsidR="00471E7E" w:rsidRPr="005A042B">
        <w:rPr>
          <w:rFonts w:ascii="Times New Roman" w:hAnsi="Times New Roman" w:cs="Times New Roman"/>
          <w:lang w:bidi="it-IT"/>
        </w:rPr>
        <w:t xml:space="preserve">i parametri PK del </w:t>
      </w:r>
      <w:proofErr w:type="spellStart"/>
      <w:r w:rsidR="00471E7E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471E7E" w:rsidRPr="005A042B">
        <w:rPr>
          <w:rFonts w:ascii="Times New Roman" w:hAnsi="Times New Roman" w:cs="Times New Roman"/>
          <w:lang w:bidi="it-IT"/>
        </w:rPr>
        <w:t xml:space="preserve">. </w:t>
      </w:r>
      <w:proofErr w:type="spellStart"/>
      <w:r w:rsidR="00931244">
        <w:rPr>
          <w:rFonts w:ascii="Times New Roman" w:hAnsi="Times New Roman" w:cs="Times New Roman"/>
          <w:lang w:bidi="it-IT"/>
        </w:rPr>
        <w:t>Tadomon</w:t>
      </w:r>
      <w:proofErr w:type="spellEnd"/>
      <w:r w:rsidR="007F7C23">
        <w:rPr>
          <w:rFonts w:ascii="Times New Roman" w:hAnsi="Times New Roman" w:cs="Times New Roman"/>
          <w:lang w:bidi="it-IT"/>
        </w:rPr>
        <w:t xml:space="preserve"> </w:t>
      </w:r>
      <w:r w:rsidR="0082646A">
        <w:rPr>
          <w:rFonts w:ascii="Times New Roman" w:hAnsi="Times New Roman" w:cs="Times New Roman"/>
          <w:lang w:bidi="it-IT"/>
        </w:rPr>
        <w:t xml:space="preserve"> </w:t>
      </w:r>
      <w:r w:rsidR="00471E7E" w:rsidRPr="005A042B">
        <w:rPr>
          <w:rFonts w:ascii="Times New Roman" w:hAnsi="Times New Roman" w:cs="Times New Roman"/>
          <w:lang w:bidi="it-IT"/>
        </w:rPr>
        <w:t xml:space="preserve">può essere </w:t>
      </w:r>
      <w:r w:rsidR="00E678F7">
        <w:rPr>
          <w:rFonts w:ascii="Times New Roman" w:hAnsi="Times New Roman" w:cs="Times New Roman"/>
          <w:lang w:bidi="it-IT"/>
        </w:rPr>
        <w:t>assunto sia a stomaco pieno che a digiuno</w:t>
      </w:r>
      <w:r w:rsidR="00471E7E" w:rsidRPr="005A042B">
        <w:rPr>
          <w:rFonts w:ascii="Times New Roman" w:hAnsi="Times New Roman" w:cs="Times New Roman"/>
          <w:lang w:bidi="it-IT"/>
        </w:rPr>
        <w:t xml:space="preserve">. </w:t>
      </w:r>
    </w:p>
    <w:p w14:paraId="5E56B7CC" w14:textId="77777777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6B2CFB0" w14:textId="77777777" w:rsidR="00471E7E" w:rsidRPr="00B1724D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B1724D">
        <w:rPr>
          <w:rFonts w:ascii="Times New Roman" w:hAnsi="Times New Roman" w:cs="Times New Roman"/>
          <w:u w:val="single"/>
          <w:lang w:bidi="it-IT"/>
        </w:rPr>
        <w:t xml:space="preserve">Distribuzione </w:t>
      </w:r>
    </w:p>
    <w:p w14:paraId="74D69011" w14:textId="715D472E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Il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è ampiamente </w:t>
      </w:r>
      <w:r w:rsidR="00CB4366">
        <w:rPr>
          <w:rFonts w:ascii="Times New Roman" w:hAnsi="Times New Roman" w:cs="Times New Roman"/>
          <w:lang w:bidi="it-IT"/>
        </w:rPr>
        <w:t>distribuito</w:t>
      </w:r>
      <w:r w:rsidR="00CB4366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in tutto </w:t>
      </w:r>
      <w:r w:rsidR="00CB4366">
        <w:rPr>
          <w:rFonts w:ascii="Times New Roman" w:hAnsi="Times New Roman" w:cs="Times New Roman"/>
          <w:lang w:bidi="it-IT"/>
        </w:rPr>
        <w:t>l’organismo</w:t>
      </w:r>
      <w:r w:rsidRPr="005A042B">
        <w:rPr>
          <w:rFonts w:ascii="Times New Roman" w:hAnsi="Times New Roman" w:cs="Times New Roman"/>
          <w:lang w:bidi="it-IT"/>
        </w:rPr>
        <w:t>. In seguito a somministrazione endovenosa, il volume di distribuzione (</w:t>
      </w:r>
      <w:proofErr w:type="spellStart"/>
      <w:r w:rsidRPr="005A042B">
        <w:rPr>
          <w:rFonts w:ascii="Times New Roman" w:hAnsi="Times New Roman" w:cs="Times New Roman"/>
          <w:lang w:bidi="it-IT"/>
        </w:rPr>
        <w:t>V</w:t>
      </w:r>
      <w:r w:rsidRPr="005A042B">
        <w:rPr>
          <w:rFonts w:ascii="Times New Roman" w:hAnsi="Times New Roman" w:cs="Times New Roman"/>
          <w:vertAlign w:val="subscript"/>
          <w:lang w:bidi="it-IT"/>
        </w:rPr>
        <w:t>z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) del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è di 540 +/- 98 l. Il legame </w:t>
      </w:r>
      <w:r w:rsidR="00CB4366">
        <w:rPr>
          <w:rFonts w:ascii="Times New Roman" w:hAnsi="Times New Roman" w:cs="Times New Roman"/>
          <w:lang w:bidi="it-IT"/>
        </w:rPr>
        <w:t xml:space="preserve">con </w:t>
      </w:r>
      <w:r w:rsidR="00CB4366" w:rsidRPr="005A042B">
        <w:rPr>
          <w:rFonts w:ascii="Times New Roman" w:hAnsi="Times New Roman" w:cs="Times New Roman"/>
          <w:lang w:bidi="it-IT"/>
        </w:rPr>
        <w:t xml:space="preserve">le </w:t>
      </w:r>
      <w:r w:rsidRPr="005A042B">
        <w:rPr>
          <w:rFonts w:ascii="Times New Roman" w:hAnsi="Times New Roman" w:cs="Times New Roman"/>
          <w:lang w:bidi="it-IT"/>
        </w:rPr>
        <w:t xml:space="preserve">proteine </w:t>
      </w:r>
      <w:r w:rsidR="00CB4366">
        <w:rPr>
          <w:rFonts w:ascii="Times New Roman" w:hAnsi="Times New Roman" w:cs="Times New Roman"/>
          <w:lang w:bidi="it-IT"/>
        </w:rPr>
        <w:t>plasmatiche</w:t>
      </w:r>
      <w:r w:rsidRPr="005A042B">
        <w:rPr>
          <w:rFonts w:ascii="Times New Roman" w:hAnsi="Times New Roman" w:cs="Times New Roman"/>
          <w:lang w:bidi="it-IT"/>
        </w:rPr>
        <w:t xml:space="preserve"> è basso e ammonta a</w:t>
      </w:r>
      <w:r w:rsidR="00163E3C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circa il 20%. </w:t>
      </w:r>
    </w:p>
    <w:p w14:paraId="0CDBA083" w14:textId="77777777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661C30D" w14:textId="7AE51E09" w:rsidR="00471E7E" w:rsidRPr="00B1724D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B1724D">
        <w:rPr>
          <w:rFonts w:ascii="Times New Roman" w:hAnsi="Times New Roman" w:cs="Times New Roman"/>
          <w:u w:val="single"/>
          <w:lang w:bidi="it-IT"/>
        </w:rPr>
        <w:t xml:space="preserve">Metabolismo </w:t>
      </w:r>
    </w:p>
    <w:p w14:paraId="4F84B2B2" w14:textId="0F9E83A4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>Ne</w:t>
      </w:r>
      <w:r w:rsidR="00163E3C">
        <w:rPr>
          <w:rFonts w:ascii="Times New Roman" w:hAnsi="Times New Roman" w:cs="Times New Roman"/>
          <w:lang w:bidi="it-IT"/>
        </w:rPr>
        <w:t>ll’uomo</w:t>
      </w:r>
      <w:r w:rsidRPr="005A042B">
        <w:rPr>
          <w:rFonts w:ascii="Times New Roman" w:hAnsi="Times New Roman" w:cs="Times New Roman"/>
          <w:lang w:bidi="it-IT"/>
        </w:rPr>
        <w:t xml:space="preserve">, il </w:t>
      </w:r>
      <w:r w:rsidR="00BF47C7">
        <w:rPr>
          <w:rFonts w:ascii="Times New Roman" w:hAnsi="Times New Roman" w:cs="Times New Roman"/>
          <w:lang w:bidi="it-IT"/>
        </w:rPr>
        <w:t xml:space="preserve">metabolismo del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</w:t>
      </w:r>
      <w:r w:rsidR="00BF47C7">
        <w:rPr>
          <w:rFonts w:ascii="Times New Roman" w:hAnsi="Times New Roman" w:cs="Times New Roman"/>
          <w:lang w:bidi="it-IT"/>
        </w:rPr>
        <w:t>è esteso</w:t>
      </w:r>
      <w:r w:rsidRPr="005A042B">
        <w:rPr>
          <w:rFonts w:ascii="Times New Roman" w:hAnsi="Times New Roman" w:cs="Times New Roman"/>
          <w:lang w:bidi="it-IT"/>
        </w:rPr>
        <w:t>. Circa il 97% del</w:t>
      </w:r>
      <w:r w:rsidR="00ED5BA3">
        <w:rPr>
          <w:rFonts w:ascii="Times New Roman" w:hAnsi="Times New Roman" w:cs="Times New Roman"/>
          <w:lang w:bidi="it-IT"/>
        </w:rPr>
        <w:t xml:space="preserve">la molecola </w:t>
      </w:r>
      <w:r w:rsidRPr="005A042B">
        <w:rPr>
          <w:rFonts w:ascii="Times New Roman" w:hAnsi="Times New Roman" w:cs="Times New Roman"/>
          <w:lang w:bidi="it-IT"/>
        </w:rPr>
        <w:t xml:space="preserve">viene metabolizzato. </w:t>
      </w:r>
      <w:r w:rsidR="003661A1">
        <w:rPr>
          <w:rFonts w:ascii="Times New Roman" w:hAnsi="Times New Roman" w:cs="Times New Roman"/>
          <w:lang w:bidi="it-IT"/>
        </w:rPr>
        <w:t xml:space="preserve">La via principale di </w:t>
      </w:r>
      <w:r w:rsidRPr="005A042B">
        <w:rPr>
          <w:rFonts w:ascii="Times New Roman" w:hAnsi="Times New Roman" w:cs="Times New Roman"/>
          <w:lang w:bidi="it-IT"/>
        </w:rPr>
        <w:t xml:space="preserve">metabolismo del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è la coniugazione con acido glucuronico per produrre </w:t>
      </w:r>
      <w:proofErr w:type="spellStart"/>
      <w:r w:rsidRPr="005A042B">
        <w:rPr>
          <w:rFonts w:ascii="Times New Roman" w:hAnsi="Times New Roman" w:cs="Times New Roman"/>
          <w:lang w:bidi="it-IT"/>
        </w:rPr>
        <w:t>glucuronidi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. </w:t>
      </w:r>
      <w:r w:rsidR="00E1602E">
        <w:rPr>
          <w:rFonts w:ascii="Times New Roman" w:hAnsi="Times New Roman" w:cs="Times New Roman"/>
          <w:lang w:bidi="it-IT"/>
        </w:rPr>
        <w:t>I</w:t>
      </w:r>
      <w:r w:rsidR="00EF2C96">
        <w:rPr>
          <w:rFonts w:ascii="Times New Roman" w:hAnsi="Times New Roman" w:cs="Times New Roman"/>
          <w:lang w:bidi="it-IT"/>
        </w:rPr>
        <w:t>n seguito a</w:t>
      </w:r>
      <w:r w:rsidRPr="005A042B">
        <w:rPr>
          <w:rFonts w:ascii="Times New Roman" w:hAnsi="Times New Roman" w:cs="Times New Roman"/>
          <w:lang w:bidi="it-IT"/>
        </w:rPr>
        <w:t xml:space="preserve"> somministrazione orale</w:t>
      </w:r>
      <w:r w:rsidR="00EF2C96">
        <w:rPr>
          <w:rFonts w:ascii="Times New Roman" w:hAnsi="Times New Roman" w:cs="Times New Roman"/>
          <w:lang w:bidi="it-IT"/>
        </w:rPr>
        <w:t>,</w:t>
      </w:r>
      <w:r w:rsidRPr="005A042B">
        <w:rPr>
          <w:rFonts w:ascii="Times New Roman" w:hAnsi="Times New Roman" w:cs="Times New Roman"/>
          <w:lang w:bidi="it-IT"/>
        </w:rPr>
        <w:t xml:space="preserve"> circa il 70% della dose </w:t>
      </w:r>
      <w:r w:rsidR="00E1602E">
        <w:rPr>
          <w:rFonts w:ascii="Times New Roman" w:hAnsi="Times New Roman" w:cs="Times New Roman"/>
          <w:lang w:bidi="it-IT"/>
        </w:rPr>
        <w:t>è escreto nelle</w:t>
      </w:r>
      <w:r w:rsidRPr="005A042B">
        <w:rPr>
          <w:rFonts w:ascii="Times New Roman" w:hAnsi="Times New Roman" w:cs="Times New Roman"/>
          <w:lang w:bidi="it-IT"/>
        </w:rPr>
        <w:t xml:space="preserve"> urin</w:t>
      </w:r>
      <w:r w:rsidR="00E1602E">
        <w:rPr>
          <w:rFonts w:ascii="Times New Roman" w:hAnsi="Times New Roman" w:cs="Times New Roman"/>
          <w:lang w:bidi="it-IT"/>
        </w:rPr>
        <w:t>e</w:t>
      </w:r>
      <w:r w:rsidRPr="005A042B">
        <w:rPr>
          <w:rFonts w:ascii="Times New Roman" w:hAnsi="Times New Roman" w:cs="Times New Roman"/>
          <w:lang w:bidi="it-IT"/>
        </w:rPr>
        <w:t xml:space="preserve"> in forma coniugata (55%</w:t>
      </w:r>
      <w:r w:rsidR="00E1602E">
        <w:rPr>
          <w:rFonts w:ascii="Times New Roman" w:hAnsi="Times New Roman" w:cs="Times New Roman"/>
          <w:lang w:bidi="it-IT"/>
        </w:rPr>
        <w:t xml:space="preserve"> di </w:t>
      </w:r>
      <w:proofErr w:type="spellStart"/>
      <w:r w:rsidRPr="005A042B">
        <w:rPr>
          <w:rFonts w:ascii="Times New Roman" w:hAnsi="Times New Roman" w:cs="Times New Roman"/>
          <w:lang w:bidi="it-IT"/>
        </w:rPr>
        <w:t>glucuronide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e 15%</w:t>
      </w:r>
      <w:r w:rsidR="00E1602E">
        <w:rPr>
          <w:rFonts w:ascii="Times New Roman" w:hAnsi="Times New Roman" w:cs="Times New Roman"/>
          <w:lang w:bidi="it-IT"/>
        </w:rPr>
        <w:t xml:space="preserve"> di </w:t>
      </w:r>
      <w:r w:rsidRPr="005A042B">
        <w:rPr>
          <w:rFonts w:ascii="Times New Roman" w:hAnsi="Times New Roman" w:cs="Times New Roman"/>
          <w:lang w:bidi="it-IT"/>
        </w:rPr>
        <w:t xml:space="preserve">solfato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). L'uridina </w:t>
      </w:r>
      <w:proofErr w:type="spellStart"/>
      <w:r w:rsidRPr="005A042B">
        <w:rPr>
          <w:rFonts w:ascii="Times New Roman" w:hAnsi="Times New Roman" w:cs="Times New Roman"/>
          <w:lang w:bidi="it-IT"/>
        </w:rPr>
        <w:t>difosfato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Pr="005A042B">
        <w:rPr>
          <w:rFonts w:ascii="Times New Roman" w:hAnsi="Times New Roman" w:cs="Times New Roman"/>
          <w:lang w:bidi="it-IT"/>
        </w:rPr>
        <w:t>glucuroniltransferasi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(UGT) è il principale enzima coinvolto nella </w:t>
      </w:r>
      <w:proofErr w:type="spellStart"/>
      <w:r w:rsidRPr="005A042B">
        <w:rPr>
          <w:rFonts w:ascii="Times New Roman" w:hAnsi="Times New Roman" w:cs="Times New Roman"/>
          <w:lang w:bidi="it-IT"/>
        </w:rPr>
        <w:t>glucuronidazione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(</w:t>
      </w:r>
      <w:r w:rsidR="009073DD">
        <w:rPr>
          <w:rFonts w:ascii="Times New Roman" w:hAnsi="Times New Roman" w:cs="Times New Roman"/>
          <w:lang w:bidi="it-IT"/>
        </w:rPr>
        <w:t>in prevalenza</w:t>
      </w:r>
      <w:r w:rsidR="009073DD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le </w:t>
      </w:r>
      <w:proofErr w:type="spellStart"/>
      <w:r w:rsidRPr="005A042B">
        <w:rPr>
          <w:rFonts w:ascii="Times New Roman" w:hAnsi="Times New Roman" w:cs="Times New Roman"/>
          <w:lang w:bidi="it-IT"/>
        </w:rPr>
        <w:t>isoforme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UGT1A6, UGT1A9 e UGT2B7). Un totale </w:t>
      </w:r>
      <w:r w:rsidR="009073DD">
        <w:rPr>
          <w:rFonts w:ascii="Times New Roman" w:hAnsi="Times New Roman" w:cs="Times New Roman"/>
          <w:lang w:bidi="it-IT"/>
        </w:rPr>
        <w:t>pari a</w:t>
      </w:r>
      <w:r w:rsidRPr="005A042B">
        <w:rPr>
          <w:rFonts w:ascii="Times New Roman" w:hAnsi="Times New Roman" w:cs="Times New Roman"/>
          <w:lang w:bidi="it-IT"/>
        </w:rPr>
        <w:t>l 3% del principio attivo</w:t>
      </w:r>
      <w:r w:rsidR="00E60732">
        <w:rPr>
          <w:rFonts w:ascii="Times New Roman" w:hAnsi="Times New Roman" w:cs="Times New Roman"/>
          <w:lang w:bidi="it-IT"/>
        </w:rPr>
        <w:t xml:space="preserve"> </w:t>
      </w:r>
      <w:r w:rsidR="009073DD">
        <w:rPr>
          <w:rFonts w:ascii="Times New Roman" w:hAnsi="Times New Roman" w:cs="Times New Roman"/>
          <w:lang w:bidi="it-IT"/>
        </w:rPr>
        <w:t xml:space="preserve">è escreto nelle urine </w:t>
      </w:r>
      <w:r w:rsidRPr="005A042B">
        <w:rPr>
          <w:rFonts w:ascii="Times New Roman" w:hAnsi="Times New Roman" w:cs="Times New Roman"/>
          <w:lang w:bidi="it-IT"/>
        </w:rPr>
        <w:t xml:space="preserve">come principio attivo </w:t>
      </w:r>
      <w:r w:rsidR="009073DD">
        <w:rPr>
          <w:rFonts w:ascii="Times New Roman" w:hAnsi="Times New Roman" w:cs="Times New Roman"/>
          <w:lang w:bidi="it-IT"/>
        </w:rPr>
        <w:t>inalterato</w:t>
      </w:r>
      <w:r w:rsidRPr="005A042B">
        <w:rPr>
          <w:rFonts w:ascii="Times New Roman" w:hAnsi="Times New Roman" w:cs="Times New Roman"/>
          <w:lang w:bidi="it-IT"/>
        </w:rPr>
        <w:t xml:space="preserve">. Il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</w:t>
      </w:r>
      <w:r w:rsidR="00E60732">
        <w:rPr>
          <w:rFonts w:ascii="Times New Roman" w:hAnsi="Times New Roman" w:cs="Times New Roman"/>
          <w:lang w:bidi="it-IT"/>
        </w:rPr>
        <w:t xml:space="preserve">è </w:t>
      </w:r>
      <w:r w:rsidRPr="005A042B">
        <w:rPr>
          <w:rFonts w:ascii="Times New Roman" w:hAnsi="Times New Roman" w:cs="Times New Roman"/>
          <w:lang w:bidi="it-IT"/>
        </w:rPr>
        <w:t xml:space="preserve">inoltre metabolizzato </w:t>
      </w:r>
      <w:r w:rsidR="00E60732">
        <w:rPr>
          <w:rFonts w:ascii="Times New Roman" w:hAnsi="Times New Roman" w:cs="Times New Roman"/>
          <w:lang w:bidi="it-IT"/>
        </w:rPr>
        <w:t>a</w:t>
      </w:r>
      <w:r w:rsidRPr="005A042B">
        <w:rPr>
          <w:rFonts w:ascii="Times New Roman" w:hAnsi="Times New Roman" w:cs="Times New Roman"/>
          <w:lang w:bidi="it-IT"/>
        </w:rPr>
        <w:t xml:space="preserve"> N-</w:t>
      </w:r>
      <w:proofErr w:type="spellStart"/>
      <w:r w:rsidRPr="005A042B">
        <w:rPr>
          <w:rFonts w:ascii="Times New Roman" w:hAnsi="Times New Roman" w:cs="Times New Roman"/>
          <w:lang w:bidi="it-IT"/>
        </w:rPr>
        <w:t>desmetiltapentadolo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(13%) dal CYP2C9 e CYP2C19 e </w:t>
      </w:r>
      <w:r w:rsidR="00E60732">
        <w:rPr>
          <w:rFonts w:ascii="Times New Roman" w:hAnsi="Times New Roman" w:cs="Times New Roman"/>
          <w:lang w:bidi="it-IT"/>
        </w:rPr>
        <w:t>ad</w:t>
      </w:r>
      <w:r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Pr="005A042B">
        <w:rPr>
          <w:rFonts w:ascii="Times New Roman" w:hAnsi="Times New Roman" w:cs="Times New Roman"/>
          <w:lang w:bidi="it-IT"/>
        </w:rPr>
        <w:t>idrossi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(2%) dal CYP2D6, che vengono ulteriormente metabolizzati </w:t>
      </w:r>
      <w:r w:rsidR="00E60732">
        <w:rPr>
          <w:rFonts w:ascii="Times New Roman" w:hAnsi="Times New Roman" w:cs="Times New Roman"/>
          <w:lang w:bidi="it-IT"/>
        </w:rPr>
        <w:t>per</w:t>
      </w:r>
      <w:r w:rsidR="00E60732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coniugazione. Pertanto, il metabolismo del principio attivo mediato dal sistema del citocromo P450 </w:t>
      </w:r>
      <w:r w:rsidR="005A716A">
        <w:rPr>
          <w:rFonts w:ascii="Times New Roman" w:hAnsi="Times New Roman" w:cs="Times New Roman"/>
          <w:lang w:bidi="it-IT"/>
        </w:rPr>
        <w:t>ha un’importanza minore rispetto</w:t>
      </w:r>
      <w:r w:rsidRPr="005A042B">
        <w:rPr>
          <w:rFonts w:ascii="Times New Roman" w:hAnsi="Times New Roman" w:cs="Times New Roman"/>
          <w:lang w:bidi="it-IT"/>
        </w:rPr>
        <w:t xml:space="preserve"> </w:t>
      </w:r>
      <w:r w:rsidR="005A716A">
        <w:rPr>
          <w:rFonts w:ascii="Times New Roman" w:hAnsi="Times New Roman" w:cs="Times New Roman"/>
          <w:lang w:bidi="it-IT"/>
        </w:rPr>
        <w:t>a</w:t>
      </w:r>
      <w:r w:rsidRPr="005A042B">
        <w:rPr>
          <w:rFonts w:ascii="Times New Roman" w:hAnsi="Times New Roman" w:cs="Times New Roman"/>
          <w:lang w:bidi="it-IT"/>
        </w:rPr>
        <w:t>lla</w:t>
      </w:r>
      <w:r w:rsidR="007C7CC2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="005A716A">
        <w:rPr>
          <w:rFonts w:ascii="Times New Roman" w:hAnsi="Times New Roman" w:cs="Times New Roman"/>
          <w:lang w:bidi="it-IT"/>
        </w:rPr>
        <w:t>glucuro</w:t>
      </w:r>
      <w:r w:rsidR="007C7CC2">
        <w:rPr>
          <w:rFonts w:ascii="Times New Roman" w:hAnsi="Times New Roman" w:cs="Times New Roman"/>
          <w:lang w:bidi="it-IT"/>
        </w:rPr>
        <w:t>nid</w:t>
      </w:r>
      <w:r w:rsidRPr="005A042B">
        <w:rPr>
          <w:rFonts w:ascii="Times New Roman" w:hAnsi="Times New Roman" w:cs="Times New Roman"/>
          <w:lang w:bidi="it-IT"/>
        </w:rPr>
        <w:t>azione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. </w:t>
      </w:r>
    </w:p>
    <w:p w14:paraId="30C842DD" w14:textId="068379F2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Nessuno dei metaboliti </w:t>
      </w:r>
      <w:r w:rsidR="00E60732">
        <w:rPr>
          <w:rFonts w:ascii="Times New Roman" w:hAnsi="Times New Roman" w:cs="Times New Roman"/>
          <w:lang w:bidi="it-IT"/>
        </w:rPr>
        <w:t>contribuisce all’attività</w:t>
      </w:r>
      <w:r w:rsidRPr="005A042B">
        <w:rPr>
          <w:rFonts w:ascii="Times New Roman" w:hAnsi="Times New Roman" w:cs="Times New Roman"/>
          <w:lang w:bidi="it-IT"/>
        </w:rPr>
        <w:t xml:space="preserve"> analgesic</w:t>
      </w:r>
      <w:r w:rsidR="00E60732">
        <w:rPr>
          <w:rFonts w:ascii="Times New Roman" w:hAnsi="Times New Roman" w:cs="Times New Roman"/>
          <w:lang w:bidi="it-IT"/>
        </w:rPr>
        <w:t>a</w:t>
      </w:r>
      <w:r w:rsidRPr="005A042B">
        <w:rPr>
          <w:rFonts w:ascii="Times New Roman" w:hAnsi="Times New Roman" w:cs="Times New Roman"/>
          <w:lang w:bidi="it-IT"/>
        </w:rPr>
        <w:t xml:space="preserve">. </w:t>
      </w:r>
    </w:p>
    <w:p w14:paraId="5170491F" w14:textId="77777777" w:rsidR="00755C40" w:rsidRPr="00721B44" w:rsidRDefault="00755C40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762F857B" w14:textId="64169573" w:rsidR="00755C40" w:rsidRPr="00B1724D" w:rsidRDefault="00755C40" w:rsidP="00C733B3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B1724D">
        <w:rPr>
          <w:rFonts w:ascii="Times New Roman" w:hAnsi="Times New Roman" w:cs="Times New Roman"/>
          <w:u w:val="single"/>
          <w:lang w:bidi="it-IT"/>
        </w:rPr>
        <w:t>Eliminazione</w:t>
      </w:r>
    </w:p>
    <w:p w14:paraId="34CF6BE9" w14:textId="13717F02" w:rsidR="00471E7E" w:rsidRDefault="00665142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>
        <w:rPr>
          <w:rFonts w:ascii="Times New Roman" w:hAnsi="Times New Roman" w:cs="Times New Roman"/>
          <w:lang w:bidi="it-IT"/>
        </w:rPr>
        <w:t>L’escrezione de</w:t>
      </w:r>
      <w:r w:rsidR="00471E7E" w:rsidRPr="005A042B">
        <w:rPr>
          <w:rFonts w:ascii="Times New Roman" w:hAnsi="Times New Roman" w:cs="Times New Roman"/>
          <w:lang w:bidi="it-IT"/>
        </w:rPr>
        <w:t xml:space="preserve">l </w:t>
      </w:r>
      <w:proofErr w:type="spellStart"/>
      <w:r w:rsidR="00471E7E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471E7E" w:rsidRPr="005A042B">
        <w:rPr>
          <w:rFonts w:ascii="Times New Roman" w:hAnsi="Times New Roman" w:cs="Times New Roman"/>
          <w:lang w:bidi="it-IT"/>
        </w:rPr>
        <w:t xml:space="preserve"> e </w:t>
      </w:r>
      <w:r>
        <w:rPr>
          <w:rFonts w:ascii="Times New Roman" w:hAnsi="Times New Roman" w:cs="Times New Roman"/>
          <w:lang w:bidi="it-IT"/>
        </w:rPr>
        <w:t>de</w:t>
      </w:r>
      <w:r w:rsidR="00471E7E" w:rsidRPr="005A042B">
        <w:rPr>
          <w:rFonts w:ascii="Times New Roman" w:hAnsi="Times New Roman" w:cs="Times New Roman"/>
          <w:lang w:bidi="it-IT"/>
        </w:rPr>
        <w:t xml:space="preserve">i suoi metaboliti </w:t>
      </w:r>
      <w:r>
        <w:rPr>
          <w:rFonts w:ascii="Times New Roman" w:hAnsi="Times New Roman" w:cs="Times New Roman"/>
          <w:lang w:bidi="it-IT"/>
        </w:rPr>
        <w:t>avviene</w:t>
      </w:r>
      <w:r w:rsidR="00471E7E" w:rsidRPr="005A042B">
        <w:rPr>
          <w:rFonts w:ascii="Times New Roman" w:hAnsi="Times New Roman" w:cs="Times New Roman"/>
          <w:lang w:bidi="it-IT"/>
        </w:rPr>
        <w:t xml:space="preserve"> quasi esclusivamente (99%) per via renale. L'emivita terminale è in media di 5-6 ore dopo la somministrazione orale. La clearance totale è di 1530 +/- 177 ml/min.</w:t>
      </w:r>
    </w:p>
    <w:p w14:paraId="2A3452EB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4A1C6504" w14:textId="77777777" w:rsidR="00471E7E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lang w:bidi="it-IT"/>
        </w:rPr>
      </w:pPr>
      <w:r w:rsidRPr="005A042B">
        <w:rPr>
          <w:rFonts w:ascii="Times New Roman" w:hAnsi="Times New Roman" w:cs="Times New Roman"/>
          <w:i/>
          <w:lang w:bidi="it-IT"/>
        </w:rPr>
        <w:t xml:space="preserve">Popolazioni speciali </w:t>
      </w:r>
    </w:p>
    <w:p w14:paraId="345DC03D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E5C323B" w14:textId="23AFBAF8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i/>
          <w:lang w:bidi="it-IT"/>
        </w:rPr>
        <w:t>Pazienti anziani</w:t>
      </w:r>
    </w:p>
    <w:p w14:paraId="71FFCADC" w14:textId="62F8B94C" w:rsidR="00471E7E" w:rsidRPr="00721B44" w:rsidRDefault="009815B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lang w:bidi="it-IT"/>
        </w:rPr>
        <w:t>I</w:t>
      </w:r>
      <w:r w:rsidR="00471E7E" w:rsidRPr="005A042B">
        <w:rPr>
          <w:rFonts w:ascii="Times New Roman" w:hAnsi="Times New Roman" w:cs="Times New Roman"/>
          <w:lang w:bidi="it-IT"/>
        </w:rPr>
        <w:t xml:space="preserve">n uno studio </w:t>
      </w:r>
      <w:proofErr w:type="spellStart"/>
      <w:r>
        <w:rPr>
          <w:rFonts w:ascii="Times New Roman" w:hAnsi="Times New Roman" w:cs="Times New Roman"/>
          <w:lang w:bidi="it-IT"/>
        </w:rPr>
        <w:t>clinco</w:t>
      </w:r>
      <w:proofErr w:type="spellEnd"/>
      <w:r>
        <w:rPr>
          <w:rFonts w:ascii="Times New Roman" w:hAnsi="Times New Roman" w:cs="Times New Roman"/>
          <w:lang w:bidi="it-IT"/>
        </w:rPr>
        <w:t xml:space="preserve"> condotto su</w:t>
      </w:r>
      <w:r w:rsidR="00471E7E" w:rsidRPr="005A042B">
        <w:rPr>
          <w:rFonts w:ascii="Times New Roman" w:hAnsi="Times New Roman" w:cs="Times New Roman"/>
          <w:lang w:bidi="it-IT"/>
        </w:rPr>
        <w:t xml:space="preserve"> soggetti anziani (</w:t>
      </w:r>
      <w:r>
        <w:rPr>
          <w:rFonts w:ascii="Times New Roman" w:hAnsi="Times New Roman" w:cs="Times New Roman"/>
          <w:lang w:bidi="it-IT"/>
        </w:rPr>
        <w:t xml:space="preserve">età compresa tra i </w:t>
      </w:r>
      <w:r w:rsidR="00471E7E" w:rsidRPr="005A042B">
        <w:rPr>
          <w:rFonts w:ascii="Times New Roman" w:hAnsi="Times New Roman" w:cs="Times New Roman"/>
          <w:lang w:bidi="it-IT"/>
        </w:rPr>
        <w:t>65</w:t>
      </w:r>
      <w:r>
        <w:rPr>
          <w:rFonts w:ascii="Times New Roman" w:hAnsi="Times New Roman" w:cs="Times New Roman"/>
          <w:lang w:bidi="it-IT"/>
        </w:rPr>
        <w:t xml:space="preserve"> e i </w:t>
      </w:r>
      <w:r w:rsidR="00471E7E" w:rsidRPr="005A042B">
        <w:rPr>
          <w:rFonts w:ascii="Times New Roman" w:hAnsi="Times New Roman" w:cs="Times New Roman"/>
          <w:lang w:bidi="it-IT"/>
        </w:rPr>
        <w:t>78 anni)</w:t>
      </w:r>
      <w:r>
        <w:rPr>
          <w:rFonts w:ascii="Times New Roman" w:hAnsi="Times New Roman" w:cs="Times New Roman"/>
          <w:lang w:bidi="it-IT"/>
        </w:rPr>
        <w:t>,</w:t>
      </w:r>
      <w:r w:rsidR="00471E7E" w:rsidRPr="005A042B">
        <w:rPr>
          <w:rFonts w:ascii="Times New Roman" w:hAnsi="Times New Roman" w:cs="Times New Roman"/>
          <w:lang w:bidi="it-IT"/>
        </w:rPr>
        <w:t xml:space="preserve"> </w:t>
      </w:r>
      <w:r>
        <w:rPr>
          <w:rFonts w:ascii="Times New Roman" w:hAnsi="Times New Roman" w:cs="Times New Roman"/>
          <w:lang w:bidi="it-IT"/>
        </w:rPr>
        <w:t>l</w:t>
      </w:r>
      <w:r w:rsidRPr="005A042B">
        <w:rPr>
          <w:rFonts w:ascii="Times New Roman" w:hAnsi="Times New Roman" w:cs="Times New Roman"/>
          <w:lang w:bidi="it-IT"/>
        </w:rPr>
        <w:t xml:space="preserve">'esposizione media (AUC) al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</w:t>
      </w:r>
      <w:r>
        <w:rPr>
          <w:rFonts w:ascii="Times New Roman" w:hAnsi="Times New Roman" w:cs="Times New Roman"/>
          <w:lang w:bidi="it-IT"/>
        </w:rPr>
        <w:t>è risultata</w:t>
      </w:r>
      <w:r w:rsidRPr="005A042B">
        <w:rPr>
          <w:rFonts w:ascii="Times New Roman" w:hAnsi="Times New Roman" w:cs="Times New Roman"/>
          <w:lang w:bidi="it-IT"/>
        </w:rPr>
        <w:t xml:space="preserve"> simile </w:t>
      </w:r>
      <w:r w:rsidR="00471E7E" w:rsidRPr="005A042B">
        <w:rPr>
          <w:rFonts w:ascii="Times New Roman" w:hAnsi="Times New Roman" w:cs="Times New Roman"/>
          <w:lang w:bidi="it-IT"/>
        </w:rPr>
        <w:t xml:space="preserve">rispetto </w:t>
      </w:r>
      <w:r>
        <w:rPr>
          <w:rFonts w:ascii="Times New Roman" w:hAnsi="Times New Roman" w:cs="Times New Roman"/>
          <w:lang w:bidi="it-IT"/>
        </w:rPr>
        <w:t>a quella d</w:t>
      </w:r>
      <w:r w:rsidR="00471E7E" w:rsidRPr="005A042B">
        <w:rPr>
          <w:rFonts w:ascii="Times New Roman" w:hAnsi="Times New Roman" w:cs="Times New Roman"/>
          <w:lang w:bidi="it-IT"/>
        </w:rPr>
        <w:t>i giovani adulti (19-43 anni di età), con una C</w:t>
      </w:r>
      <w:r w:rsidR="00471E7E" w:rsidRPr="005A042B">
        <w:rPr>
          <w:rFonts w:ascii="Times New Roman" w:hAnsi="Times New Roman" w:cs="Times New Roman"/>
          <w:sz w:val="20"/>
          <w:vertAlign w:val="subscript"/>
          <w:lang w:bidi="it-IT"/>
        </w:rPr>
        <w:t>max</w:t>
      </w:r>
      <w:r w:rsidR="00471E7E" w:rsidRPr="005A042B">
        <w:rPr>
          <w:rFonts w:ascii="Times New Roman" w:hAnsi="Times New Roman" w:cs="Times New Roman"/>
          <w:lang w:bidi="it-IT"/>
        </w:rPr>
        <w:t xml:space="preserve"> media inferiore del 16% osservata nel gruppo dei soggetti anziani rispetto ai soggetti giovani adulti. </w:t>
      </w:r>
    </w:p>
    <w:p w14:paraId="228317D5" w14:textId="77777777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D165A6C" w14:textId="7AE974C5" w:rsidR="00471E7E" w:rsidRPr="00721B44" w:rsidRDefault="005939F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/>
          <w:lang w:bidi="it-IT"/>
        </w:rPr>
        <w:t>Compromissione</w:t>
      </w:r>
      <w:r w:rsidR="00471E7E" w:rsidRPr="005A042B">
        <w:rPr>
          <w:rFonts w:ascii="Times New Roman" w:hAnsi="Times New Roman" w:cs="Times New Roman"/>
          <w:i/>
          <w:lang w:bidi="it-IT"/>
        </w:rPr>
        <w:t xml:space="preserve"> renale </w:t>
      </w:r>
    </w:p>
    <w:p w14:paraId="08268223" w14:textId="35296D8D" w:rsidR="00AD2E1A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042B">
        <w:rPr>
          <w:rFonts w:ascii="Times New Roman" w:hAnsi="Times New Roman" w:cs="Times New Roman"/>
          <w:lang w:bidi="it-IT"/>
        </w:rPr>
        <w:t>L'AUC e la C</w:t>
      </w:r>
      <w:r w:rsidRPr="005A042B">
        <w:rPr>
          <w:rFonts w:ascii="Times New Roman" w:hAnsi="Times New Roman" w:cs="Times New Roman"/>
          <w:vertAlign w:val="subscript"/>
          <w:lang w:bidi="it-IT"/>
        </w:rPr>
        <w:t>max</w:t>
      </w:r>
      <w:r w:rsidRPr="005A042B">
        <w:rPr>
          <w:rFonts w:ascii="Times New Roman" w:hAnsi="Times New Roman" w:cs="Times New Roman"/>
          <w:lang w:bidi="it-IT"/>
        </w:rPr>
        <w:t xml:space="preserve">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</w:t>
      </w:r>
      <w:r w:rsidR="005939FE">
        <w:rPr>
          <w:rFonts w:ascii="Times New Roman" w:hAnsi="Times New Roman" w:cs="Times New Roman"/>
          <w:lang w:bidi="it-IT"/>
        </w:rPr>
        <w:t>sono risultati simili</w:t>
      </w:r>
      <w:r w:rsidRPr="005A042B">
        <w:rPr>
          <w:rFonts w:ascii="Times New Roman" w:hAnsi="Times New Roman" w:cs="Times New Roman"/>
          <w:lang w:bidi="it-IT"/>
        </w:rPr>
        <w:t xml:space="preserve"> in soggetti con gradi </w:t>
      </w:r>
      <w:r w:rsidR="005939FE" w:rsidRPr="005A042B">
        <w:rPr>
          <w:rFonts w:ascii="Times New Roman" w:hAnsi="Times New Roman" w:cs="Times New Roman"/>
          <w:lang w:bidi="it-IT"/>
        </w:rPr>
        <w:t>vari</w:t>
      </w:r>
      <w:r w:rsidR="005939FE">
        <w:rPr>
          <w:rFonts w:ascii="Times New Roman" w:hAnsi="Times New Roman" w:cs="Times New Roman"/>
          <w:lang w:bidi="it-IT"/>
        </w:rPr>
        <w:t>abili</w:t>
      </w:r>
      <w:r w:rsidR="005939FE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di funzionalità renale (da normale </w:t>
      </w:r>
      <w:r w:rsidR="00AD2E1A">
        <w:rPr>
          <w:rFonts w:ascii="Times New Roman" w:hAnsi="Times New Roman" w:cs="Times New Roman"/>
          <w:lang w:bidi="it-IT"/>
        </w:rPr>
        <w:t xml:space="preserve">fino a </w:t>
      </w:r>
      <w:r w:rsidRPr="005A042B">
        <w:rPr>
          <w:rFonts w:ascii="Times New Roman" w:hAnsi="Times New Roman" w:cs="Times New Roman"/>
          <w:lang w:bidi="it-IT"/>
        </w:rPr>
        <w:t xml:space="preserve">gravemente compromessa). </w:t>
      </w:r>
      <w:r w:rsidR="00AD2E1A" w:rsidRPr="00AD2E1A">
        <w:rPr>
          <w:rFonts w:ascii="Times New Roman" w:hAnsi="Times New Roman" w:cs="Times New Roman"/>
          <w:lang w:bidi="it-IT"/>
        </w:rPr>
        <w:t>All’aumentare del grado di compromissione renale si è avuto, invece</w:t>
      </w:r>
      <w:r w:rsidR="00AD2E1A">
        <w:rPr>
          <w:rFonts w:ascii="Times New Roman" w:hAnsi="Times New Roman" w:cs="Times New Roman"/>
          <w:lang w:bidi="it-IT"/>
        </w:rPr>
        <w:t>,</w:t>
      </w:r>
      <w:r w:rsidRPr="005A042B">
        <w:rPr>
          <w:rFonts w:ascii="Times New Roman" w:hAnsi="Times New Roman" w:cs="Times New Roman"/>
          <w:lang w:bidi="it-IT"/>
        </w:rPr>
        <w:t xml:space="preserve"> un aumento dell'esposizione (AUC) a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>-O-</w:t>
      </w:r>
      <w:proofErr w:type="spellStart"/>
      <w:r w:rsidRPr="005A042B">
        <w:rPr>
          <w:rFonts w:ascii="Times New Roman" w:hAnsi="Times New Roman" w:cs="Times New Roman"/>
          <w:lang w:bidi="it-IT"/>
        </w:rPr>
        <w:t>glucuronide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. Nei soggetti con </w:t>
      </w:r>
      <w:r w:rsidR="00AD2E1A">
        <w:rPr>
          <w:rFonts w:ascii="Times New Roman" w:hAnsi="Times New Roman" w:cs="Times New Roman"/>
          <w:lang w:bidi="it-IT"/>
        </w:rPr>
        <w:t xml:space="preserve">compromissione renale </w:t>
      </w:r>
      <w:r w:rsidRPr="005A042B">
        <w:rPr>
          <w:rFonts w:ascii="Times New Roman" w:hAnsi="Times New Roman" w:cs="Times New Roman"/>
          <w:lang w:bidi="it-IT"/>
        </w:rPr>
        <w:t>lieve</w:t>
      </w:r>
      <w:r w:rsidR="00AD2E1A">
        <w:rPr>
          <w:rFonts w:ascii="Times New Roman" w:hAnsi="Times New Roman" w:cs="Times New Roman"/>
          <w:lang w:bidi="it-IT"/>
        </w:rPr>
        <w:t>,</w:t>
      </w:r>
      <w:r w:rsidRPr="005A042B">
        <w:rPr>
          <w:rFonts w:ascii="Times New Roman" w:hAnsi="Times New Roman" w:cs="Times New Roman"/>
          <w:lang w:bidi="it-IT"/>
        </w:rPr>
        <w:t xml:space="preserve"> moderata </w:t>
      </w:r>
      <w:r w:rsidR="00AD2E1A">
        <w:rPr>
          <w:rFonts w:ascii="Times New Roman" w:hAnsi="Times New Roman" w:cs="Times New Roman"/>
          <w:lang w:bidi="it-IT"/>
        </w:rPr>
        <w:t>e severa</w:t>
      </w:r>
      <w:r w:rsidRPr="005A042B">
        <w:rPr>
          <w:rFonts w:ascii="Times New Roman" w:hAnsi="Times New Roman" w:cs="Times New Roman"/>
          <w:lang w:bidi="it-IT"/>
        </w:rPr>
        <w:t>, l</w:t>
      </w:r>
      <w:r w:rsidR="00AD2E1A">
        <w:rPr>
          <w:rFonts w:ascii="Times New Roman" w:hAnsi="Times New Roman" w:cs="Times New Roman"/>
          <w:lang w:bidi="it-IT"/>
        </w:rPr>
        <w:t xml:space="preserve">e </w:t>
      </w:r>
      <w:r w:rsidRPr="005A042B">
        <w:rPr>
          <w:rFonts w:ascii="Times New Roman" w:hAnsi="Times New Roman" w:cs="Times New Roman"/>
          <w:lang w:bidi="it-IT"/>
        </w:rPr>
        <w:t xml:space="preserve">AUC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>-O-</w:t>
      </w:r>
      <w:proofErr w:type="spellStart"/>
      <w:r w:rsidRPr="005A042B">
        <w:rPr>
          <w:rFonts w:ascii="Times New Roman" w:hAnsi="Times New Roman" w:cs="Times New Roman"/>
          <w:lang w:bidi="it-IT"/>
        </w:rPr>
        <w:t>glucuronide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</w:t>
      </w:r>
      <w:r w:rsidR="00AD2E1A">
        <w:rPr>
          <w:rFonts w:ascii="Times New Roman" w:hAnsi="Times New Roman" w:cs="Times New Roman"/>
          <w:lang w:bidi="it-IT"/>
        </w:rPr>
        <w:t>sono</w:t>
      </w:r>
      <w:r w:rsidRPr="005A042B">
        <w:rPr>
          <w:rFonts w:ascii="Times New Roman" w:hAnsi="Times New Roman" w:cs="Times New Roman"/>
          <w:lang w:bidi="it-IT"/>
        </w:rPr>
        <w:t xml:space="preserve"> rispettivamente di 1,5-, 2,5- e 5,5 volte superior</w:t>
      </w:r>
      <w:r w:rsidR="00AD2E1A">
        <w:rPr>
          <w:rFonts w:ascii="Times New Roman" w:hAnsi="Times New Roman" w:cs="Times New Roman"/>
          <w:lang w:bidi="it-IT"/>
        </w:rPr>
        <w:t>i</w:t>
      </w:r>
      <w:r w:rsidRPr="005A042B">
        <w:rPr>
          <w:rFonts w:ascii="Times New Roman" w:hAnsi="Times New Roman" w:cs="Times New Roman"/>
          <w:lang w:bidi="it-IT"/>
        </w:rPr>
        <w:t xml:space="preserve"> rispetto </w:t>
      </w:r>
      <w:r w:rsidR="00AD2E1A" w:rsidRPr="00AD2E1A">
        <w:rPr>
          <w:rFonts w:ascii="Times New Roman" w:hAnsi="Times New Roman" w:cs="Times New Roman"/>
          <w:lang w:bidi="it-IT"/>
        </w:rPr>
        <w:t>a quelle che si rilevano in soggetti con funzionalità renale nella norma</w:t>
      </w:r>
      <w:r w:rsidR="00AD2E1A">
        <w:rPr>
          <w:rFonts w:ascii="Times New Roman" w:hAnsi="Times New Roman" w:cs="Times New Roman"/>
          <w:lang w:bidi="it-IT"/>
        </w:rPr>
        <w:t>.</w:t>
      </w:r>
    </w:p>
    <w:p w14:paraId="25C1A115" w14:textId="77777777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3E77782" w14:textId="115C8E25" w:rsidR="00471E7E" w:rsidRPr="00721B44" w:rsidRDefault="006107D3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/>
          <w:lang w:bidi="it-IT"/>
        </w:rPr>
        <w:t>Compromissione</w:t>
      </w:r>
      <w:r w:rsidR="00471E7E" w:rsidRPr="005A042B">
        <w:rPr>
          <w:rFonts w:ascii="Times New Roman" w:hAnsi="Times New Roman" w:cs="Times New Roman"/>
          <w:i/>
          <w:lang w:bidi="it-IT"/>
        </w:rPr>
        <w:t xml:space="preserve"> epatica </w:t>
      </w:r>
    </w:p>
    <w:p w14:paraId="663C0F76" w14:textId="4713319B" w:rsidR="00471E7E" w:rsidRDefault="00471E7E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 xml:space="preserve">La somministrazione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ha </w:t>
      </w:r>
      <w:r w:rsidR="00BB171F">
        <w:rPr>
          <w:rFonts w:ascii="Times New Roman" w:hAnsi="Times New Roman" w:cs="Times New Roman"/>
          <w:lang w:bidi="it-IT"/>
        </w:rPr>
        <w:t>com</w:t>
      </w:r>
      <w:r w:rsidRPr="005A042B">
        <w:rPr>
          <w:rFonts w:ascii="Times New Roman" w:hAnsi="Times New Roman" w:cs="Times New Roman"/>
          <w:lang w:bidi="it-IT"/>
        </w:rPr>
        <w:t xml:space="preserve">portato </w:t>
      </w:r>
      <w:r w:rsidR="00BB171F">
        <w:rPr>
          <w:rFonts w:ascii="Times New Roman" w:hAnsi="Times New Roman" w:cs="Times New Roman"/>
          <w:lang w:bidi="it-IT"/>
        </w:rPr>
        <w:t>un aumento delle</w:t>
      </w:r>
      <w:r w:rsidRPr="005A042B">
        <w:rPr>
          <w:rFonts w:ascii="Times New Roman" w:hAnsi="Times New Roman" w:cs="Times New Roman"/>
          <w:lang w:bidi="it-IT"/>
        </w:rPr>
        <w:t xml:space="preserve"> esposizioni e </w:t>
      </w:r>
      <w:r w:rsidR="00BB171F">
        <w:rPr>
          <w:rFonts w:ascii="Times New Roman" w:hAnsi="Times New Roman" w:cs="Times New Roman"/>
          <w:lang w:bidi="it-IT"/>
        </w:rPr>
        <w:t xml:space="preserve">dei </w:t>
      </w:r>
      <w:r w:rsidRPr="005A042B">
        <w:rPr>
          <w:rFonts w:ascii="Times New Roman" w:hAnsi="Times New Roman" w:cs="Times New Roman"/>
          <w:lang w:bidi="it-IT"/>
        </w:rPr>
        <w:t xml:space="preserve">livelli sierici </w:t>
      </w:r>
      <w:r w:rsidR="00BB171F">
        <w:rPr>
          <w:rFonts w:ascii="Times New Roman" w:hAnsi="Times New Roman" w:cs="Times New Roman"/>
          <w:lang w:bidi="it-IT"/>
        </w:rPr>
        <w:t>di</w:t>
      </w:r>
      <w:r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nei soggetti con funzionalità epatica </w:t>
      </w:r>
      <w:r w:rsidR="00BB171F" w:rsidRPr="005A042B">
        <w:rPr>
          <w:rFonts w:ascii="Times New Roman" w:hAnsi="Times New Roman" w:cs="Times New Roman"/>
          <w:lang w:bidi="it-IT"/>
        </w:rPr>
        <w:t>comprom</w:t>
      </w:r>
      <w:r w:rsidR="00BB171F">
        <w:rPr>
          <w:rFonts w:ascii="Times New Roman" w:hAnsi="Times New Roman" w:cs="Times New Roman"/>
          <w:lang w:bidi="it-IT"/>
        </w:rPr>
        <w:t xml:space="preserve">essa </w:t>
      </w:r>
      <w:r w:rsidRPr="005A042B">
        <w:rPr>
          <w:rFonts w:ascii="Times New Roman" w:hAnsi="Times New Roman" w:cs="Times New Roman"/>
          <w:lang w:bidi="it-IT"/>
        </w:rPr>
        <w:t xml:space="preserve">rispetto ai soggetti con funzionalità epatica normale. Il rapporto dei parametri farmacocinetici </w:t>
      </w:r>
      <w:r w:rsidR="00C308BA">
        <w:rPr>
          <w:rFonts w:ascii="Times New Roman" w:hAnsi="Times New Roman" w:cs="Times New Roman"/>
          <w:lang w:bidi="it-IT"/>
        </w:rPr>
        <w:t>di</w:t>
      </w:r>
      <w:r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per i gruppi con </w:t>
      </w:r>
      <w:r w:rsidR="00C308BA">
        <w:rPr>
          <w:rFonts w:ascii="Times New Roman" w:hAnsi="Times New Roman" w:cs="Times New Roman"/>
          <w:lang w:bidi="it-IT"/>
        </w:rPr>
        <w:t>compromissione</w:t>
      </w:r>
      <w:r w:rsidR="00C308BA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>lieve e moderata della funzionalità epatica rispetto al gruppo con funzionalità epatica normale era</w:t>
      </w:r>
      <w:r w:rsidR="00C308BA">
        <w:rPr>
          <w:rFonts w:ascii="Times New Roman" w:hAnsi="Times New Roman" w:cs="Times New Roman"/>
          <w:lang w:bidi="it-IT"/>
        </w:rPr>
        <w:t>no</w:t>
      </w:r>
      <w:r w:rsidRPr="005A042B">
        <w:rPr>
          <w:rFonts w:ascii="Times New Roman" w:hAnsi="Times New Roman" w:cs="Times New Roman"/>
          <w:lang w:bidi="it-IT"/>
        </w:rPr>
        <w:t xml:space="preserve"> rispettivamente 1,7 e 4,2 per l'AUC; 1,4 e 2,5 per la C</w:t>
      </w:r>
      <w:r w:rsidRPr="005A042B">
        <w:rPr>
          <w:rFonts w:ascii="Times New Roman" w:hAnsi="Times New Roman" w:cs="Times New Roman"/>
          <w:vertAlign w:val="subscript"/>
          <w:lang w:bidi="it-IT"/>
        </w:rPr>
        <w:t>max</w:t>
      </w:r>
      <w:r w:rsidRPr="005A042B">
        <w:rPr>
          <w:rFonts w:ascii="Times New Roman" w:hAnsi="Times New Roman" w:cs="Times New Roman"/>
          <w:lang w:bidi="it-IT"/>
        </w:rPr>
        <w:t>; e 1,2 e 1,4 per il t</w:t>
      </w:r>
      <w:r w:rsidRPr="005A042B">
        <w:rPr>
          <w:rFonts w:ascii="Times New Roman" w:hAnsi="Times New Roman" w:cs="Times New Roman"/>
          <w:vertAlign w:val="subscript"/>
          <w:lang w:bidi="it-IT"/>
        </w:rPr>
        <w:t>1/2</w:t>
      </w:r>
      <w:r w:rsidRPr="005A042B">
        <w:rPr>
          <w:rFonts w:ascii="Times New Roman" w:hAnsi="Times New Roman" w:cs="Times New Roman"/>
          <w:lang w:bidi="it-IT"/>
        </w:rPr>
        <w:t xml:space="preserve">. Il tasso di formazione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>-O-</w:t>
      </w:r>
      <w:proofErr w:type="spellStart"/>
      <w:r w:rsidRPr="005A042B">
        <w:rPr>
          <w:rFonts w:ascii="Times New Roman" w:hAnsi="Times New Roman" w:cs="Times New Roman"/>
          <w:lang w:bidi="it-IT"/>
        </w:rPr>
        <w:t>glucuronide</w:t>
      </w:r>
      <w:proofErr w:type="spellEnd"/>
      <w:r w:rsidR="00C03F63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>era inferiore nei soggetti con maggiore compromissione epatica.</w:t>
      </w:r>
    </w:p>
    <w:p w14:paraId="23912AE3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17274CA7" w14:textId="77777777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i/>
          <w:lang w:bidi="it-IT"/>
        </w:rPr>
        <w:t xml:space="preserve">Interazioni farmacocinetiche </w:t>
      </w:r>
    </w:p>
    <w:p w14:paraId="59B46D12" w14:textId="1CCEBDEB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 xml:space="preserve">Il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è metabolizzato </w:t>
      </w:r>
      <w:r w:rsidR="00620CA6" w:rsidRPr="005A042B">
        <w:rPr>
          <w:rFonts w:ascii="Times New Roman" w:hAnsi="Times New Roman" w:cs="Times New Roman"/>
          <w:lang w:bidi="it-IT"/>
        </w:rPr>
        <w:t>p</w:t>
      </w:r>
      <w:r w:rsidR="004C3DAE">
        <w:rPr>
          <w:rFonts w:ascii="Times New Roman" w:hAnsi="Times New Roman" w:cs="Times New Roman"/>
          <w:lang w:bidi="it-IT"/>
        </w:rPr>
        <w:t>r</w:t>
      </w:r>
      <w:r w:rsidR="00620CA6">
        <w:rPr>
          <w:rFonts w:ascii="Times New Roman" w:hAnsi="Times New Roman" w:cs="Times New Roman"/>
          <w:lang w:bidi="it-IT"/>
        </w:rPr>
        <w:t>evalente</w:t>
      </w:r>
      <w:r w:rsidR="00620CA6" w:rsidRPr="005A042B">
        <w:rPr>
          <w:rFonts w:ascii="Times New Roman" w:hAnsi="Times New Roman" w:cs="Times New Roman"/>
          <w:lang w:bidi="it-IT"/>
        </w:rPr>
        <w:t>mente</w:t>
      </w:r>
      <w:r w:rsidR="00620CA6" w:rsidRPr="005A042B" w:rsidDel="00970D1D">
        <w:rPr>
          <w:rFonts w:ascii="Times New Roman" w:hAnsi="Times New Roman" w:cs="Times New Roman"/>
          <w:lang w:bidi="it-IT"/>
        </w:rPr>
        <w:t xml:space="preserve"> </w:t>
      </w:r>
      <w:r w:rsidR="00970D1D">
        <w:rPr>
          <w:rFonts w:ascii="Times New Roman" w:hAnsi="Times New Roman" w:cs="Times New Roman"/>
          <w:lang w:bidi="it-IT"/>
        </w:rPr>
        <w:t>tramite</w:t>
      </w:r>
      <w:r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Pr="005A042B">
        <w:rPr>
          <w:rFonts w:ascii="Times New Roman" w:hAnsi="Times New Roman" w:cs="Times New Roman"/>
          <w:lang w:bidi="it-IT"/>
        </w:rPr>
        <w:t>glucuronidazione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di fase 2 </w:t>
      </w:r>
      <w:r w:rsidR="005773B6">
        <w:rPr>
          <w:rFonts w:ascii="Times New Roman" w:hAnsi="Times New Roman" w:cs="Times New Roman"/>
          <w:lang w:bidi="it-IT"/>
        </w:rPr>
        <w:t>e</w:t>
      </w:r>
      <w:r w:rsidR="005773B6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solo una </w:t>
      </w:r>
      <w:r w:rsidR="00620CA6">
        <w:rPr>
          <w:rFonts w:ascii="Times New Roman" w:hAnsi="Times New Roman" w:cs="Times New Roman"/>
          <w:lang w:bidi="it-IT"/>
        </w:rPr>
        <w:t xml:space="preserve">piccola </w:t>
      </w:r>
      <w:r w:rsidRPr="005A042B">
        <w:rPr>
          <w:rFonts w:ascii="Times New Roman" w:hAnsi="Times New Roman" w:cs="Times New Roman"/>
          <w:lang w:bidi="it-IT"/>
        </w:rPr>
        <w:t xml:space="preserve">frazione </w:t>
      </w:r>
      <w:r w:rsidR="004F26DB">
        <w:rPr>
          <w:rFonts w:ascii="Times New Roman" w:hAnsi="Times New Roman" w:cs="Times New Roman"/>
          <w:lang w:bidi="it-IT"/>
        </w:rPr>
        <w:t xml:space="preserve">è </w:t>
      </w:r>
      <w:r w:rsidRPr="005A042B">
        <w:rPr>
          <w:rFonts w:ascii="Times New Roman" w:hAnsi="Times New Roman" w:cs="Times New Roman"/>
          <w:lang w:bidi="it-IT"/>
        </w:rPr>
        <w:t xml:space="preserve">metabolizzata attraverso le vie ossidative di fase 1. </w:t>
      </w:r>
    </w:p>
    <w:p w14:paraId="79C93389" w14:textId="7972987B" w:rsidR="00471E7E" w:rsidRPr="00721B44" w:rsidRDefault="00B62089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lang w:bidi="it-IT"/>
        </w:rPr>
        <w:lastRenderedPageBreak/>
        <w:t>Dato che</w:t>
      </w:r>
      <w:r w:rsidRPr="005A042B">
        <w:rPr>
          <w:rFonts w:ascii="Times New Roman" w:hAnsi="Times New Roman" w:cs="Times New Roman"/>
          <w:lang w:bidi="it-IT"/>
        </w:rPr>
        <w:t xml:space="preserve"> </w:t>
      </w:r>
      <w:r w:rsidR="00471E7E" w:rsidRPr="005A042B">
        <w:rPr>
          <w:rFonts w:ascii="Times New Roman" w:hAnsi="Times New Roman" w:cs="Times New Roman"/>
          <w:lang w:bidi="it-IT"/>
        </w:rPr>
        <w:t xml:space="preserve">la </w:t>
      </w:r>
      <w:proofErr w:type="spellStart"/>
      <w:r w:rsidR="00471E7E" w:rsidRPr="005A042B">
        <w:rPr>
          <w:rFonts w:ascii="Times New Roman" w:hAnsi="Times New Roman" w:cs="Times New Roman"/>
          <w:lang w:bidi="it-IT"/>
        </w:rPr>
        <w:t>glucuronidazione</w:t>
      </w:r>
      <w:proofErr w:type="spellEnd"/>
      <w:r w:rsidR="00471E7E" w:rsidRPr="005A042B">
        <w:rPr>
          <w:rFonts w:ascii="Times New Roman" w:hAnsi="Times New Roman" w:cs="Times New Roman"/>
          <w:lang w:bidi="it-IT"/>
        </w:rPr>
        <w:t xml:space="preserve"> è un sistema a</w:t>
      </w:r>
      <w:r w:rsidR="006D021B">
        <w:rPr>
          <w:rFonts w:ascii="Times New Roman" w:hAnsi="Times New Roman" w:cs="Times New Roman"/>
          <w:lang w:bidi="it-IT"/>
        </w:rPr>
        <w:t>d</w:t>
      </w:r>
      <w:r w:rsidR="00471E7E" w:rsidRPr="005A042B">
        <w:rPr>
          <w:rFonts w:ascii="Times New Roman" w:hAnsi="Times New Roman" w:cs="Times New Roman"/>
          <w:lang w:bidi="it-IT"/>
        </w:rPr>
        <w:t xml:space="preserve"> elevata capacità/bassa affinità, che non </w:t>
      </w:r>
      <w:r>
        <w:rPr>
          <w:rFonts w:ascii="Times New Roman" w:hAnsi="Times New Roman" w:cs="Times New Roman"/>
          <w:lang w:bidi="it-IT"/>
        </w:rPr>
        <w:t xml:space="preserve">si satura </w:t>
      </w:r>
      <w:r w:rsidR="00471E7E" w:rsidRPr="005A042B">
        <w:rPr>
          <w:rFonts w:ascii="Times New Roman" w:hAnsi="Times New Roman" w:cs="Times New Roman"/>
          <w:lang w:bidi="it-IT"/>
        </w:rPr>
        <w:t>facilmente anche in c</w:t>
      </w:r>
      <w:r>
        <w:rPr>
          <w:rFonts w:ascii="Times New Roman" w:hAnsi="Times New Roman" w:cs="Times New Roman"/>
          <w:lang w:bidi="it-IT"/>
        </w:rPr>
        <w:t>orso</w:t>
      </w:r>
      <w:r w:rsidR="00471E7E" w:rsidRPr="005A042B">
        <w:rPr>
          <w:rFonts w:ascii="Times New Roman" w:hAnsi="Times New Roman" w:cs="Times New Roman"/>
          <w:lang w:bidi="it-IT"/>
        </w:rPr>
        <w:t xml:space="preserve"> di malattia, e </w:t>
      </w:r>
      <w:r>
        <w:rPr>
          <w:rFonts w:ascii="Times New Roman" w:hAnsi="Times New Roman" w:cs="Times New Roman"/>
          <w:lang w:bidi="it-IT"/>
        </w:rPr>
        <w:t>dal momento che</w:t>
      </w:r>
      <w:r w:rsidRPr="005A042B">
        <w:rPr>
          <w:rFonts w:ascii="Times New Roman" w:hAnsi="Times New Roman" w:cs="Times New Roman"/>
          <w:lang w:bidi="it-IT"/>
        </w:rPr>
        <w:t xml:space="preserve"> </w:t>
      </w:r>
      <w:r w:rsidR="00471E7E" w:rsidRPr="005A042B">
        <w:rPr>
          <w:rFonts w:ascii="Times New Roman" w:hAnsi="Times New Roman" w:cs="Times New Roman"/>
          <w:lang w:bidi="it-IT"/>
        </w:rPr>
        <w:t xml:space="preserve">le concentrazioni terapeutiche dei principi attivi sono generalmente ben al di sotto delle concentrazioni necessarie per una potenziale inibizione della </w:t>
      </w:r>
      <w:proofErr w:type="spellStart"/>
      <w:r w:rsidR="00471E7E" w:rsidRPr="005A042B">
        <w:rPr>
          <w:rFonts w:ascii="Times New Roman" w:hAnsi="Times New Roman" w:cs="Times New Roman"/>
          <w:lang w:bidi="it-IT"/>
        </w:rPr>
        <w:t>glucuronidazione</w:t>
      </w:r>
      <w:proofErr w:type="spellEnd"/>
      <w:r w:rsidR="00471E7E" w:rsidRPr="005A042B">
        <w:rPr>
          <w:rFonts w:ascii="Times New Roman" w:hAnsi="Times New Roman" w:cs="Times New Roman"/>
          <w:lang w:bidi="it-IT"/>
        </w:rPr>
        <w:t>, è</w:t>
      </w:r>
      <w:r>
        <w:rPr>
          <w:rFonts w:ascii="Times New Roman" w:hAnsi="Times New Roman" w:cs="Times New Roman"/>
          <w:lang w:bidi="it-IT"/>
        </w:rPr>
        <w:t xml:space="preserve"> poco </w:t>
      </w:r>
      <w:r w:rsidR="00471E7E" w:rsidRPr="005A042B">
        <w:rPr>
          <w:rFonts w:ascii="Times New Roman" w:hAnsi="Times New Roman" w:cs="Times New Roman"/>
          <w:lang w:bidi="it-IT"/>
        </w:rPr>
        <w:t>probabile che si verifichino interazioni clinicamente rilevanti causate dal metabolismo di fase 2. In una serie di studi di interazione con paracetamolo, naprossene, acido acetilsalicilico e probenecid, è stata studiata una possibile influenza</w:t>
      </w:r>
      <w:r w:rsidR="00324A4B" w:rsidRPr="005A042B">
        <w:rPr>
          <w:rFonts w:ascii="Times New Roman" w:hAnsi="Times New Roman" w:cs="Times New Roman"/>
          <w:lang w:bidi="it-IT"/>
        </w:rPr>
        <w:t xml:space="preserve"> </w:t>
      </w:r>
      <w:r w:rsidR="00471E7E" w:rsidRPr="005A042B">
        <w:rPr>
          <w:rFonts w:ascii="Times New Roman" w:hAnsi="Times New Roman" w:cs="Times New Roman"/>
          <w:lang w:bidi="it-IT"/>
        </w:rPr>
        <w:t xml:space="preserve">di questi principi attivi sulla </w:t>
      </w:r>
      <w:proofErr w:type="spellStart"/>
      <w:r w:rsidR="00471E7E" w:rsidRPr="005A042B">
        <w:rPr>
          <w:rFonts w:ascii="Times New Roman" w:hAnsi="Times New Roman" w:cs="Times New Roman"/>
          <w:lang w:bidi="it-IT"/>
        </w:rPr>
        <w:t>glucuronidazione</w:t>
      </w:r>
      <w:proofErr w:type="spellEnd"/>
      <w:r w:rsidR="00471E7E" w:rsidRPr="005A042B">
        <w:rPr>
          <w:rFonts w:ascii="Times New Roman" w:hAnsi="Times New Roman" w:cs="Times New Roman"/>
          <w:lang w:bidi="it-IT"/>
        </w:rPr>
        <w:t xml:space="preserve"> di </w:t>
      </w:r>
      <w:proofErr w:type="spellStart"/>
      <w:r w:rsidR="00471E7E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471E7E" w:rsidRPr="005A042B">
        <w:rPr>
          <w:rFonts w:ascii="Times New Roman" w:hAnsi="Times New Roman" w:cs="Times New Roman"/>
          <w:lang w:bidi="it-IT"/>
        </w:rPr>
        <w:t>. Gli studi con naprossene (500 mg due volte al giorno per 2 giorni) e probenecid (500 mg due volte al giorno per 2 giorni) hanno mostrato aumenti dell'AUC d</w:t>
      </w:r>
      <w:r w:rsidR="008152F3">
        <w:rPr>
          <w:rFonts w:ascii="Times New Roman" w:hAnsi="Times New Roman" w:cs="Times New Roman"/>
          <w:lang w:bidi="it-IT"/>
        </w:rPr>
        <w:t>i</w:t>
      </w:r>
      <w:r w:rsidR="00471E7E"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="00471E7E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471E7E" w:rsidRPr="005A042B">
        <w:rPr>
          <w:rFonts w:ascii="Times New Roman" w:hAnsi="Times New Roman" w:cs="Times New Roman"/>
          <w:lang w:bidi="it-IT"/>
        </w:rPr>
        <w:t xml:space="preserve"> rispettivamente del 17% e del 57%. Nel complesso, in questi studi non sono stati osservati effetti clinicamente rilevanti sulle concentrazioni sieriche di </w:t>
      </w:r>
      <w:proofErr w:type="spellStart"/>
      <w:r w:rsidR="00471E7E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471E7E" w:rsidRPr="005A042B">
        <w:rPr>
          <w:rFonts w:ascii="Times New Roman" w:hAnsi="Times New Roman" w:cs="Times New Roman"/>
          <w:lang w:bidi="it-IT"/>
        </w:rPr>
        <w:t xml:space="preserve">. </w:t>
      </w:r>
    </w:p>
    <w:p w14:paraId="36CB1378" w14:textId="7BF151DD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042B">
        <w:rPr>
          <w:rFonts w:ascii="Times New Roman" w:hAnsi="Times New Roman" w:cs="Times New Roman"/>
          <w:lang w:bidi="it-IT"/>
        </w:rPr>
        <w:t xml:space="preserve">Inoltre, sono stati condotti studi di interazione </w:t>
      </w:r>
      <w:r w:rsidR="00391AF4">
        <w:rPr>
          <w:rFonts w:ascii="Times New Roman" w:hAnsi="Times New Roman" w:cs="Times New Roman"/>
          <w:lang w:bidi="it-IT"/>
        </w:rPr>
        <w:t>di</w:t>
      </w:r>
      <w:r w:rsidR="00391AF4"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con </w:t>
      </w:r>
      <w:proofErr w:type="spellStart"/>
      <w:r w:rsidRPr="005A042B">
        <w:rPr>
          <w:rFonts w:ascii="Times New Roman" w:hAnsi="Times New Roman" w:cs="Times New Roman"/>
          <w:lang w:bidi="it-IT"/>
        </w:rPr>
        <w:t>metoclopramide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e omeprazolo </w:t>
      </w:r>
      <w:r w:rsidR="00391AF4">
        <w:rPr>
          <w:rFonts w:ascii="Times New Roman" w:hAnsi="Times New Roman" w:cs="Times New Roman"/>
          <w:lang w:bidi="it-IT"/>
        </w:rPr>
        <w:t>al fine di</w:t>
      </w:r>
      <w:r w:rsidR="00391AF4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valutare una possibile influenza di questi principi attivi sull'assorbimento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. Questi studi, inoltre, non hanno mostrato effetti clinicamente rilevanti sulle concentrazioni sieriche di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. </w:t>
      </w:r>
    </w:p>
    <w:p w14:paraId="27B6B072" w14:textId="73DE7D53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A042B">
        <w:rPr>
          <w:rFonts w:ascii="Times New Roman" w:hAnsi="Times New Roman" w:cs="Times New Roman"/>
          <w:lang w:bidi="it-IT"/>
        </w:rPr>
        <w:t>Gli studi</w:t>
      </w:r>
      <w:r w:rsidRPr="005A042B">
        <w:rPr>
          <w:rFonts w:ascii="Times New Roman" w:hAnsi="Times New Roman" w:cs="Times New Roman"/>
          <w:i/>
          <w:lang w:bidi="it-IT"/>
        </w:rPr>
        <w:t xml:space="preserve"> in vitro</w:t>
      </w:r>
      <w:r w:rsidRPr="005A042B">
        <w:rPr>
          <w:rFonts w:ascii="Times New Roman" w:hAnsi="Times New Roman" w:cs="Times New Roman"/>
          <w:lang w:bidi="it-IT"/>
        </w:rPr>
        <w:t xml:space="preserve"> non hanno </w:t>
      </w:r>
      <w:r w:rsidR="00AC512D">
        <w:rPr>
          <w:rFonts w:ascii="Times New Roman" w:hAnsi="Times New Roman" w:cs="Times New Roman"/>
          <w:lang w:bidi="it-IT"/>
        </w:rPr>
        <w:t>rilevato alcuna</w:t>
      </w:r>
      <w:r w:rsidRPr="005A042B">
        <w:rPr>
          <w:rFonts w:ascii="Times New Roman" w:hAnsi="Times New Roman" w:cs="Times New Roman"/>
          <w:lang w:bidi="it-IT"/>
        </w:rPr>
        <w:t xml:space="preserve"> capacità del </w:t>
      </w:r>
      <w:proofErr w:type="spellStart"/>
      <w:r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di inibire o indurre gli enzimi del citocromo P450. Pertanto, è improbabile che si verifichino interazioni clinicamente rilevanti mediate dal sistema del citocromo P450. </w:t>
      </w:r>
    </w:p>
    <w:p w14:paraId="53C08153" w14:textId="77777777" w:rsidR="00471E7E" w:rsidRPr="00721B44" w:rsidRDefault="00471E7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64B492D" w14:textId="35D7ED80" w:rsidR="00471E7E" w:rsidRDefault="00471E7E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 xml:space="preserve">Il legame </w:t>
      </w:r>
      <w:r w:rsidR="00812865" w:rsidRPr="005A042B">
        <w:rPr>
          <w:rFonts w:ascii="Times New Roman" w:hAnsi="Times New Roman" w:cs="Times New Roman"/>
          <w:lang w:bidi="it-IT"/>
        </w:rPr>
        <w:t>d</w:t>
      </w:r>
      <w:r w:rsidR="00812865">
        <w:rPr>
          <w:rFonts w:ascii="Times New Roman" w:hAnsi="Times New Roman" w:cs="Times New Roman"/>
          <w:lang w:bidi="it-IT"/>
        </w:rPr>
        <w:t>i</w:t>
      </w:r>
      <w:r w:rsidR="00812865" w:rsidRPr="005A042B">
        <w:rPr>
          <w:rFonts w:ascii="Times New Roman" w:hAnsi="Times New Roman" w:cs="Times New Roman"/>
          <w:lang w:bidi="it-IT"/>
        </w:rPr>
        <w:t xml:space="preserve"> </w:t>
      </w:r>
      <w:proofErr w:type="spellStart"/>
      <w:r w:rsidR="00812865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812865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alle proteine plasmatiche è basso (circa il 20%). Pertanto, la probabilità di interazioni farmacocinetiche tra farmaci </w:t>
      </w:r>
      <w:r w:rsidR="00812865">
        <w:rPr>
          <w:rFonts w:ascii="Times New Roman" w:hAnsi="Times New Roman" w:cs="Times New Roman"/>
          <w:lang w:bidi="it-IT"/>
        </w:rPr>
        <w:t>dovuta allo spiazzamento</w:t>
      </w:r>
      <w:r w:rsidRPr="005A042B">
        <w:rPr>
          <w:rFonts w:ascii="Times New Roman" w:hAnsi="Times New Roman" w:cs="Times New Roman"/>
          <w:lang w:bidi="it-IT"/>
        </w:rPr>
        <w:t xml:space="preserve"> dal sito di legame delle proteine è bassa.</w:t>
      </w:r>
    </w:p>
    <w:p w14:paraId="1327021C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46288818" w14:textId="13077226" w:rsidR="00062749" w:rsidRPr="00B1724D" w:rsidRDefault="00062749" w:rsidP="00B1724D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5.3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Dati preclinici </w:t>
      </w:r>
      <w:r w:rsidR="00D0130A" w:rsidRPr="00B1724D">
        <w:rPr>
          <w:rFonts w:ascii="Times New Roman" w:eastAsia="Times New Roman" w:hAnsi="Times New Roman" w:cs="Times New Roman"/>
          <w:b/>
          <w:szCs w:val="20"/>
        </w:rPr>
        <w:t>di sicurezza</w:t>
      </w:r>
    </w:p>
    <w:p w14:paraId="5A88B620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BF9D95D" w14:textId="1AF0B772" w:rsidR="00062749" w:rsidRPr="00721B44" w:rsidRDefault="00B31B3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lang w:bidi="it-IT"/>
        </w:rPr>
        <w:t>A</w:t>
      </w:r>
      <w:r w:rsidRPr="005A042B">
        <w:rPr>
          <w:rFonts w:ascii="Times New Roman" w:hAnsi="Times New Roman" w:cs="Times New Roman"/>
          <w:lang w:bidi="it-IT"/>
        </w:rPr>
        <w:t xml:space="preserve">l test di Ames </w:t>
      </w:r>
      <w:r>
        <w:rPr>
          <w:rFonts w:ascii="Times New Roman" w:hAnsi="Times New Roman" w:cs="Times New Roman"/>
          <w:lang w:bidi="it-IT"/>
        </w:rPr>
        <w:t>i</w:t>
      </w:r>
      <w:r w:rsidR="00062749" w:rsidRPr="005A042B">
        <w:rPr>
          <w:rFonts w:ascii="Times New Roman" w:hAnsi="Times New Roman" w:cs="Times New Roman"/>
          <w:lang w:bidi="it-IT"/>
        </w:rPr>
        <w:t xml:space="preserve">l </w:t>
      </w:r>
      <w:proofErr w:type="spellStart"/>
      <w:r w:rsidR="00062749" w:rsidRPr="005A042B">
        <w:rPr>
          <w:rFonts w:ascii="Times New Roman" w:hAnsi="Times New Roman" w:cs="Times New Roman"/>
          <w:lang w:bidi="it-IT"/>
        </w:rPr>
        <w:t>tapentadol</w:t>
      </w:r>
      <w:r w:rsidR="006930AF">
        <w:rPr>
          <w:rFonts w:ascii="Times New Roman" w:hAnsi="Times New Roman" w:cs="Times New Roman"/>
          <w:lang w:bidi="it-IT"/>
        </w:rPr>
        <w:t>o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 non è risultato genotossico </w:t>
      </w:r>
      <w:r>
        <w:rPr>
          <w:rFonts w:ascii="Times New Roman" w:hAnsi="Times New Roman" w:cs="Times New Roman"/>
          <w:lang w:bidi="it-IT"/>
        </w:rPr>
        <w:t>su</w:t>
      </w:r>
      <w:r w:rsidR="00062749" w:rsidRPr="005A042B">
        <w:rPr>
          <w:rFonts w:ascii="Times New Roman" w:hAnsi="Times New Roman" w:cs="Times New Roman"/>
          <w:lang w:bidi="it-IT"/>
        </w:rPr>
        <w:t xml:space="preserve">i batteri. Risultati </w:t>
      </w:r>
      <w:r w:rsidR="006F2D76">
        <w:rPr>
          <w:rFonts w:ascii="Times New Roman" w:hAnsi="Times New Roman" w:cs="Times New Roman"/>
          <w:lang w:bidi="it-IT"/>
        </w:rPr>
        <w:t>ambigui</w:t>
      </w:r>
      <w:r w:rsidR="006F2D76" w:rsidRPr="005A042B">
        <w:rPr>
          <w:rFonts w:ascii="Times New Roman" w:hAnsi="Times New Roman" w:cs="Times New Roman"/>
          <w:lang w:bidi="it-IT"/>
        </w:rPr>
        <w:t xml:space="preserve"> </w:t>
      </w:r>
      <w:r w:rsidR="00062749" w:rsidRPr="005A042B">
        <w:rPr>
          <w:rFonts w:ascii="Times New Roman" w:hAnsi="Times New Roman" w:cs="Times New Roman"/>
          <w:lang w:bidi="it-IT"/>
        </w:rPr>
        <w:t xml:space="preserve">sono stati osservati in un test di aberrazione cromosomica </w:t>
      </w:r>
      <w:r w:rsidR="00062749" w:rsidRPr="005A042B">
        <w:rPr>
          <w:rFonts w:ascii="Times New Roman" w:hAnsi="Times New Roman" w:cs="Times New Roman"/>
          <w:i/>
          <w:lang w:bidi="it-IT"/>
        </w:rPr>
        <w:t>in vitro</w:t>
      </w:r>
      <w:r w:rsidR="00062749" w:rsidRPr="005A042B">
        <w:rPr>
          <w:rFonts w:ascii="Times New Roman" w:hAnsi="Times New Roman" w:cs="Times New Roman"/>
          <w:lang w:bidi="it-IT"/>
        </w:rPr>
        <w:t xml:space="preserve">, ma quando il test è stato ripetuto i risultati sono stati chiaramente negativi. Il </w:t>
      </w:r>
      <w:proofErr w:type="spellStart"/>
      <w:r w:rsidR="00062749" w:rsidRPr="005A042B">
        <w:rPr>
          <w:rFonts w:ascii="Times New Roman" w:hAnsi="Times New Roman" w:cs="Times New Roman"/>
          <w:lang w:bidi="it-IT"/>
        </w:rPr>
        <w:t>tapentadol</w:t>
      </w:r>
      <w:r w:rsidR="006930AF">
        <w:rPr>
          <w:rFonts w:ascii="Times New Roman" w:hAnsi="Times New Roman" w:cs="Times New Roman"/>
          <w:lang w:bidi="it-IT"/>
        </w:rPr>
        <w:t>o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 non è risultato genotossico </w:t>
      </w:r>
      <w:r w:rsidR="00062749" w:rsidRPr="005A042B">
        <w:rPr>
          <w:rFonts w:ascii="Times New Roman" w:hAnsi="Times New Roman" w:cs="Times New Roman"/>
          <w:i/>
          <w:lang w:bidi="it-IT"/>
        </w:rPr>
        <w:t>in vivo</w:t>
      </w:r>
      <w:r w:rsidR="00062749" w:rsidRPr="005A042B">
        <w:rPr>
          <w:rFonts w:ascii="Times New Roman" w:hAnsi="Times New Roman" w:cs="Times New Roman"/>
          <w:lang w:bidi="it-IT"/>
        </w:rPr>
        <w:t xml:space="preserve">, utilizzando i due endpoint dell'aberrazione cromosomica e della sintesi non programmata del DNA, quando testato fino alla dose massima tollerata. Gli studi a lungo termine sugli animali non hanno evidenziato un potenziale rischio cancerogeno rilevante per l'uomo. </w:t>
      </w:r>
    </w:p>
    <w:p w14:paraId="7A2EB4C3" w14:textId="77777777" w:rsidR="009F023E" w:rsidRPr="00721B44" w:rsidRDefault="009F023E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B1473B0" w14:textId="6006B1E8" w:rsidR="00062749" w:rsidRPr="00721B44" w:rsidRDefault="00405946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 w:cs="Times New Roman"/>
          <w:lang w:bidi="it-IT"/>
        </w:rPr>
        <w:t>T</w:t>
      </w:r>
      <w:r w:rsidR="00062749" w:rsidRPr="005A042B">
        <w:rPr>
          <w:rFonts w:ascii="Times New Roman" w:hAnsi="Times New Roman" w:cs="Times New Roman"/>
          <w:lang w:bidi="it-IT"/>
        </w:rPr>
        <w:t>apentadolo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 non ha avuto alcuna influenza sulla fertilità maschile o femminile nei ratti, ma </w:t>
      </w:r>
      <w:r w:rsidR="005E626B" w:rsidRPr="005A042B">
        <w:rPr>
          <w:rFonts w:ascii="Times New Roman" w:hAnsi="Times New Roman" w:cs="Times New Roman"/>
          <w:lang w:bidi="it-IT"/>
        </w:rPr>
        <w:t>a</w:t>
      </w:r>
      <w:r w:rsidR="005E626B">
        <w:rPr>
          <w:rFonts w:ascii="Times New Roman" w:hAnsi="Times New Roman" w:cs="Times New Roman"/>
          <w:lang w:bidi="it-IT"/>
        </w:rPr>
        <w:t>d alte</w:t>
      </w:r>
      <w:r w:rsidR="005E626B" w:rsidRPr="005A042B">
        <w:rPr>
          <w:rFonts w:ascii="Times New Roman" w:hAnsi="Times New Roman" w:cs="Times New Roman"/>
          <w:lang w:bidi="it-IT"/>
        </w:rPr>
        <w:t xml:space="preserve"> dos</w:t>
      </w:r>
      <w:r w:rsidR="005E626B">
        <w:rPr>
          <w:rFonts w:ascii="Times New Roman" w:hAnsi="Times New Roman" w:cs="Times New Roman"/>
          <w:lang w:bidi="it-IT"/>
        </w:rPr>
        <w:t>i</w:t>
      </w:r>
      <w:r w:rsidR="005E626B" w:rsidRPr="005A042B">
        <w:rPr>
          <w:rFonts w:ascii="Times New Roman" w:hAnsi="Times New Roman" w:cs="Times New Roman"/>
          <w:lang w:bidi="it-IT"/>
        </w:rPr>
        <w:t xml:space="preserve"> </w:t>
      </w:r>
      <w:r w:rsidR="00F004A9">
        <w:rPr>
          <w:rFonts w:ascii="Times New Roman" w:hAnsi="Times New Roman" w:cs="Times New Roman"/>
          <w:lang w:bidi="it-IT"/>
        </w:rPr>
        <w:t xml:space="preserve">ha </w:t>
      </w:r>
      <w:r w:rsidR="00062749" w:rsidRPr="005A042B">
        <w:rPr>
          <w:rFonts w:ascii="Times New Roman" w:hAnsi="Times New Roman" w:cs="Times New Roman"/>
          <w:lang w:bidi="it-IT"/>
        </w:rPr>
        <w:t>ridott</w:t>
      </w:r>
      <w:r w:rsidR="00F004A9">
        <w:rPr>
          <w:rFonts w:ascii="Times New Roman" w:hAnsi="Times New Roman" w:cs="Times New Roman"/>
          <w:lang w:bidi="it-IT"/>
        </w:rPr>
        <w:t>o la</w:t>
      </w:r>
      <w:r w:rsidR="00062749" w:rsidRPr="005A042B">
        <w:rPr>
          <w:rFonts w:ascii="Times New Roman" w:hAnsi="Times New Roman" w:cs="Times New Roman"/>
          <w:lang w:bidi="it-IT"/>
        </w:rPr>
        <w:t xml:space="preserve"> sopravvivenza in utero. Non è noto se questo sia </w:t>
      </w:r>
      <w:r w:rsidR="00881F3F">
        <w:rPr>
          <w:rFonts w:ascii="Times New Roman" w:hAnsi="Times New Roman" w:cs="Times New Roman"/>
          <w:lang w:bidi="it-IT"/>
        </w:rPr>
        <w:t>mediato</w:t>
      </w:r>
      <w:r w:rsidR="003D70A0">
        <w:rPr>
          <w:rFonts w:ascii="Times New Roman" w:hAnsi="Times New Roman" w:cs="Times New Roman"/>
          <w:lang w:bidi="it-IT"/>
        </w:rPr>
        <w:t xml:space="preserve"> per via</w:t>
      </w:r>
      <w:r w:rsidR="00062749" w:rsidRPr="005A042B">
        <w:rPr>
          <w:rFonts w:ascii="Times New Roman" w:hAnsi="Times New Roman" w:cs="Times New Roman"/>
          <w:lang w:bidi="it-IT"/>
        </w:rPr>
        <w:t xml:space="preserve"> maschi</w:t>
      </w:r>
      <w:r w:rsidR="003D70A0">
        <w:rPr>
          <w:rFonts w:ascii="Times New Roman" w:hAnsi="Times New Roman" w:cs="Times New Roman"/>
          <w:lang w:bidi="it-IT"/>
        </w:rPr>
        <w:t>le</w:t>
      </w:r>
      <w:r w:rsidR="00062749" w:rsidRPr="005A042B">
        <w:rPr>
          <w:rFonts w:ascii="Times New Roman" w:hAnsi="Times New Roman" w:cs="Times New Roman"/>
          <w:lang w:bidi="it-IT"/>
        </w:rPr>
        <w:t xml:space="preserve"> o femmin</w:t>
      </w:r>
      <w:r w:rsidR="003D70A0">
        <w:rPr>
          <w:rFonts w:ascii="Times New Roman" w:hAnsi="Times New Roman" w:cs="Times New Roman"/>
          <w:lang w:bidi="it-IT"/>
        </w:rPr>
        <w:t>ile</w:t>
      </w:r>
      <w:r w:rsidR="00062749" w:rsidRPr="005A042B">
        <w:rPr>
          <w:rFonts w:ascii="Times New Roman" w:hAnsi="Times New Roman" w:cs="Times New Roman"/>
          <w:lang w:bidi="it-IT"/>
        </w:rPr>
        <w:t xml:space="preserve">. </w:t>
      </w:r>
      <w:proofErr w:type="spellStart"/>
      <w:r>
        <w:rPr>
          <w:rFonts w:ascii="Times New Roman" w:hAnsi="Times New Roman" w:cs="Times New Roman"/>
          <w:lang w:bidi="it-IT"/>
        </w:rPr>
        <w:t>T</w:t>
      </w:r>
      <w:r w:rsidR="00062749" w:rsidRPr="005A042B">
        <w:rPr>
          <w:rFonts w:ascii="Times New Roman" w:hAnsi="Times New Roman" w:cs="Times New Roman"/>
          <w:lang w:bidi="it-IT"/>
        </w:rPr>
        <w:t>apentadolo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 non ha mostrato effetti teratogeni nei ratti e nei conigli a seguito di esposizione endovenosa e sottocutanea; tuttavia, </w:t>
      </w:r>
      <w:r w:rsidR="007554EB" w:rsidRPr="005A042B">
        <w:rPr>
          <w:rFonts w:ascii="Times New Roman" w:hAnsi="Times New Roman" w:cs="Times New Roman"/>
          <w:lang w:bidi="it-IT"/>
        </w:rPr>
        <w:t xml:space="preserve">sono stati osservati </w:t>
      </w:r>
      <w:r w:rsidR="007554EB">
        <w:rPr>
          <w:rFonts w:ascii="Times New Roman" w:hAnsi="Times New Roman" w:cs="Times New Roman"/>
          <w:lang w:bidi="it-IT"/>
        </w:rPr>
        <w:t>ritardo nel</w:t>
      </w:r>
      <w:r w:rsidR="00062749" w:rsidRPr="005A042B">
        <w:rPr>
          <w:rFonts w:ascii="Times New Roman" w:hAnsi="Times New Roman" w:cs="Times New Roman"/>
          <w:lang w:bidi="it-IT"/>
        </w:rPr>
        <w:t xml:space="preserve">lo sviluppo e tossicità </w:t>
      </w:r>
      <w:r w:rsidR="007554EB" w:rsidRPr="005A042B">
        <w:rPr>
          <w:rFonts w:ascii="Times New Roman" w:hAnsi="Times New Roman" w:cs="Times New Roman"/>
          <w:lang w:bidi="it-IT"/>
        </w:rPr>
        <w:t>embrio</w:t>
      </w:r>
      <w:r w:rsidR="007554EB">
        <w:rPr>
          <w:rFonts w:ascii="Times New Roman" w:hAnsi="Times New Roman" w:cs="Times New Roman"/>
          <w:lang w:bidi="it-IT"/>
        </w:rPr>
        <w:t xml:space="preserve">nale </w:t>
      </w:r>
      <w:r w:rsidR="00062749" w:rsidRPr="005A042B">
        <w:rPr>
          <w:rFonts w:ascii="Times New Roman" w:hAnsi="Times New Roman" w:cs="Times New Roman"/>
          <w:lang w:bidi="it-IT"/>
        </w:rPr>
        <w:t>dopo la somministrazione di dosi che hanno portato a</w:t>
      </w:r>
      <w:r w:rsidR="007554EB">
        <w:rPr>
          <w:rFonts w:ascii="Times New Roman" w:hAnsi="Times New Roman" w:cs="Times New Roman"/>
          <w:lang w:bidi="it-IT"/>
        </w:rPr>
        <w:t>d effetti</w:t>
      </w:r>
      <w:r w:rsidR="00062749" w:rsidRPr="005A042B">
        <w:rPr>
          <w:rFonts w:ascii="Times New Roman" w:hAnsi="Times New Roman" w:cs="Times New Roman"/>
          <w:lang w:bidi="it-IT"/>
        </w:rPr>
        <w:t xml:space="preserve"> farmacologi esagerat</w:t>
      </w:r>
      <w:r w:rsidR="007554EB">
        <w:rPr>
          <w:rFonts w:ascii="Times New Roman" w:hAnsi="Times New Roman" w:cs="Times New Roman"/>
          <w:lang w:bidi="it-IT"/>
        </w:rPr>
        <w:t>i</w:t>
      </w:r>
      <w:r w:rsidR="00062749" w:rsidRPr="005A042B">
        <w:rPr>
          <w:rFonts w:ascii="Times New Roman" w:hAnsi="Times New Roman" w:cs="Times New Roman"/>
          <w:lang w:bidi="it-IT"/>
        </w:rPr>
        <w:t xml:space="preserve"> (effetti </w:t>
      </w:r>
      <w:r w:rsidR="009D0741">
        <w:rPr>
          <w:rFonts w:ascii="Times New Roman" w:hAnsi="Times New Roman" w:cs="Times New Roman"/>
          <w:lang w:bidi="it-IT"/>
        </w:rPr>
        <w:t>sull’attività</w:t>
      </w:r>
      <w:r w:rsidR="009D0741" w:rsidRPr="005A042B">
        <w:rPr>
          <w:rFonts w:ascii="Times New Roman" w:hAnsi="Times New Roman" w:cs="Times New Roman"/>
          <w:lang w:bidi="it-IT"/>
        </w:rPr>
        <w:t xml:space="preserve"> mu-oppioid</w:t>
      </w:r>
      <w:r w:rsidR="009D0741">
        <w:rPr>
          <w:rFonts w:ascii="Times New Roman" w:hAnsi="Times New Roman" w:cs="Times New Roman"/>
          <w:lang w:bidi="it-IT"/>
        </w:rPr>
        <w:t>e</w:t>
      </w:r>
      <w:r w:rsidR="009D0741" w:rsidRPr="005A042B">
        <w:rPr>
          <w:rFonts w:ascii="Times New Roman" w:hAnsi="Times New Roman" w:cs="Times New Roman"/>
          <w:lang w:bidi="it-IT"/>
        </w:rPr>
        <w:t xml:space="preserve"> </w:t>
      </w:r>
      <w:r w:rsidR="00786868">
        <w:rPr>
          <w:rFonts w:ascii="Times New Roman" w:hAnsi="Times New Roman" w:cs="Times New Roman"/>
          <w:lang w:bidi="it-IT"/>
        </w:rPr>
        <w:t xml:space="preserve">a livello </w:t>
      </w:r>
      <w:r w:rsidR="00062749" w:rsidRPr="005A042B">
        <w:rPr>
          <w:rFonts w:ascii="Times New Roman" w:hAnsi="Times New Roman" w:cs="Times New Roman"/>
          <w:lang w:bidi="it-IT"/>
        </w:rPr>
        <w:t xml:space="preserve">del SNC </w:t>
      </w:r>
      <w:r w:rsidR="00786868">
        <w:rPr>
          <w:rFonts w:ascii="Times New Roman" w:hAnsi="Times New Roman" w:cs="Times New Roman"/>
          <w:lang w:bidi="it-IT"/>
        </w:rPr>
        <w:t xml:space="preserve">dovuti </w:t>
      </w:r>
      <w:r w:rsidR="00062749" w:rsidRPr="005A042B">
        <w:rPr>
          <w:rFonts w:ascii="Times New Roman" w:hAnsi="Times New Roman" w:cs="Times New Roman"/>
          <w:lang w:bidi="it-IT"/>
        </w:rPr>
        <w:t>a dos</w:t>
      </w:r>
      <w:r w:rsidR="00786868">
        <w:rPr>
          <w:rFonts w:ascii="Times New Roman" w:hAnsi="Times New Roman" w:cs="Times New Roman"/>
          <w:lang w:bidi="it-IT"/>
        </w:rPr>
        <w:t>agg</w:t>
      </w:r>
      <w:r w:rsidR="00062749" w:rsidRPr="005A042B">
        <w:rPr>
          <w:rFonts w:ascii="Times New Roman" w:hAnsi="Times New Roman" w:cs="Times New Roman"/>
          <w:lang w:bidi="it-IT"/>
        </w:rPr>
        <w:t>i superiori al</w:t>
      </w:r>
      <w:r w:rsidR="00786868">
        <w:rPr>
          <w:rFonts w:ascii="Times New Roman" w:hAnsi="Times New Roman" w:cs="Times New Roman"/>
          <w:lang w:bidi="it-IT"/>
        </w:rPr>
        <w:t xml:space="preserve"> range</w:t>
      </w:r>
      <w:r w:rsidR="00062749" w:rsidRPr="005A042B">
        <w:rPr>
          <w:rFonts w:ascii="Times New Roman" w:hAnsi="Times New Roman" w:cs="Times New Roman"/>
          <w:lang w:bidi="it-IT"/>
        </w:rPr>
        <w:t xml:space="preserve"> terapeutico). Dopo la somministrazione per via endovenosa nei ratti è stata osservata una </w:t>
      </w:r>
      <w:r w:rsidR="004656F0" w:rsidRPr="005A042B">
        <w:rPr>
          <w:rFonts w:ascii="Times New Roman" w:hAnsi="Times New Roman" w:cs="Times New Roman"/>
          <w:lang w:bidi="it-IT"/>
        </w:rPr>
        <w:t>rid</w:t>
      </w:r>
      <w:r w:rsidR="004656F0">
        <w:rPr>
          <w:rFonts w:ascii="Times New Roman" w:hAnsi="Times New Roman" w:cs="Times New Roman"/>
          <w:lang w:bidi="it-IT"/>
        </w:rPr>
        <w:t>uzione della</w:t>
      </w:r>
      <w:r w:rsidR="004656F0" w:rsidRPr="005A042B">
        <w:rPr>
          <w:rFonts w:ascii="Times New Roman" w:hAnsi="Times New Roman" w:cs="Times New Roman"/>
          <w:lang w:bidi="it-IT"/>
        </w:rPr>
        <w:t xml:space="preserve"> </w:t>
      </w:r>
      <w:r w:rsidR="00062749" w:rsidRPr="005A042B">
        <w:rPr>
          <w:rFonts w:ascii="Times New Roman" w:hAnsi="Times New Roman" w:cs="Times New Roman"/>
          <w:lang w:bidi="it-IT"/>
        </w:rPr>
        <w:t xml:space="preserve">sopravvivenza </w:t>
      </w:r>
      <w:r w:rsidR="00062749" w:rsidRPr="005A042B">
        <w:rPr>
          <w:rFonts w:ascii="Times New Roman" w:hAnsi="Times New Roman" w:cs="Times New Roman"/>
          <w:i/>
          <w:lang w:bidi="it-IT"/>
        </w:rPr>
        <w:t>in utero</w:t>
      </w:r>
      <w:r w:rsidR="00062749" w:rsidRPr="005A042B">
        <w:rPr>
          <w:rFonts w:ascii="Times New Roman" w:hAnsi="Times New Roman" w:cs="Times New Roman"/>
          <w:lang w:bidi="it-IT"/>
        </w:rPr>
        <w:t xml:space="preserve">. Nei ratti il </w:t>
      </w:r>
      <w:proofErr w:type="spellStart"/>
      <w:r w:rsidR="00062749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 ha causato un aumento della mortalità dei cuccioli</w:t>
      </w:r>
      <w:r w:rsidR="004656F0" w:rsidRPr="005A042B">
        <w:rPr>
          <w:rFonts w:ascii="Times New Roman" w:hAnsi="Times New Roman" w:cs="Times New Roman"/>
          <w:lang w:bidi="it-IT"/>
        </w:rPr>
        <w:t xml:space="preserve"> </w:t>
      </w:r>
      <w:r w:rsidR="00062749" w:rsidRPr="005A042B">
        <w:rPr>
          <w:rFonts w:ascii="Times New Roman" w:hAnsi="Times New Roman" w:cs="Times New Roman"/>
          <w:lang w:bidi="it-IT"/>
        </w:rPr>
        <w:t xml:space="preserve">F1 che sono stati esposti direttamente attraverso il latte tra i giorni 1 e 4 post-partum già a dosaggi che non provocavano tossicità materna. Non sono stati osservati effetti sui parametri neurocomportamentali. </w:t>
      </w:r>
    </w:p>
    <w:p w14:paraId="24CF35CE" w14:textId="77777777" w:rsidR="00535B20" w:rsidRPr="00721B44" w:rsidRDefault="00535B2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6721ABC" w14:textId="70B0C95E" w:rsidR="00471E7E" w:rsidRDefault="00B1724D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>
        <w:rPr>
          <w:rFonts w:ascii="Times New Roman" w:hAnsi="Times New Roman" w:cs="Times New Roman"/>
          <w:lang w:bidi="it-IT"/>
        </w:rPr>
        <w:t>L’</w:t>
      </w:r>
      <w:r w:rsidR="00062749" w:rsidRPr="005A042B">
        <w:rPr>
          <w:rFonts w:ascii="Times New Roman" w:hAnsi="Times New Roman" w:cs="Times New Roman"/>
          <w:lang w:bidi="it-IT"/>
        </w:rPr>
        <w:t xml:space="preserve">escrezione nel latte materno è stata studiata in cuccioli di ratto allattati da madri trattate con </w:t>
      </w:r>
      <w:proofErr w:type="spellStart"/>
      <w:r w:rsidR="00062749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. I cuccioli sono stati esposti in maniera dose-dipendente al </w:t>
      </w:r>
      <w:proofErr w:type="spellStart"/>
      <w:r w:rsidR="00062749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 e al </w:t>
      </w:r>
      <w:proofErr w:type="spellStart"/>
      <w:r w:rsidR="00062749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 O-</w:t>
      </w:r>
      <w:proofErr w:type="spellStart"/>
      <w:r w:rsidR="00062749" w:rsidRPr="005A042B">
        <w:rPr>
          <w:rFonts w:ascii="Times New Roman" w:hAnsi="Times New Roman" w:cs="Times New Roman"/>
          <w:lang w:bidi="it-IT"/>
        </w:rPr>
        <w:t>glucuronide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. Lo studio ha rivelato che il </w:t>
      </w:r>
      <w:proofErr w:type="spellStart"/>
      <w:r w:rsidR="00062749" w:rsidRPr="005A042B">
        <w:rPr>
          <w:rFonts w:ascii="Times New Roman" w:hAnsi="Times New Roman" w:cs="Times New Roman"/>
          <w:lang w:bidi="it-IT"/>
        </w:rPr>
        <w:t>tapentadolo</w:t>
      </w:r>
      <w:proofErr w:type="spellEnd"/>
      <w:r w:rsidR="00062749" w:rsidRPr="005A042B">
        <w:rPr>
          <w:rFonts w:ascii="Times New Roman" w:hAnsi="Times New Roman" w:cs="Times New Roman"/>
          <w:lang w:bidi="it-IT"/>
        </w:rPr>
        <w:t xml:space="preserve"> viene escreto nel latte materno.</w:t>
      </w:r>
    </w:p>
    <w:p w14:paraId="5E558B68" w14:textId="77777777" w:rsidR="00931244" w:rsidRDefault="00931244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</w:p>
    <w:p w14:paraId="12D206AD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4FBA8619" w14:textId="1FB2CAB6" w:rsidR="00471E7E" w:rsidRPr="00B1724D" w:rsidRDefault="00062749" w:rsidP="00B1724D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6.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INFORMAZIONI FARMACEUTICHE</w:t>
      </w:r>
    </w:p>
    <w:p w14:paraId="1E56D1EC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4CD7C19B" w14:textId="291776B8" w:rsidR="00C03F87" w:rsidRDefault="00062749" w:rsidP="00B1724D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lang w:bidi="it-IT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6.1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Elenco degli eccipienti</w:t>
      </w:r>
    </w:p>
    <w:p w14:paraId="4C3E872C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</w:rPr>
      </w:pPr>
    </w:p>
    <w:p w14:paraId="70682C35" w14:textId="385EE099" w:rsidR="00C03F87" w:rsidRPr="00721B44" w:rsidRDefault="00C03F87" w:rsidP="00C733B3">
      <w:pPr>
        <w:pStyle w:val="Default"/>
        <w:rPr>
          <w:sz w:val="22"/>
          <w:u w:val="single"/>
        </w:rPr>
      </w:pPr>
      <w:r w:rsidRPr="002A7684">
        <w:rPr>
          <w:sz w:val="22"/>
          <w:u w:val="single"/>
          <w:lang w:bidi="it-IT"/>
        </w:rPr>
        <w:t xml:space="preserve">Nucleo della compressa: </w:t>
      </w:r>
    </w:p>
    <w:p w14:paraId="12DF3BA4" w14:textId="20C3DCC6" w:rsidR="00C03F87" w:rsidRPr="00721B44" w:rsidRDefault="00C03F87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Povidone</w:t>
      </w:r>
      <w:proofErr w:type="spellEnd"/>
      <w:r>
        <w:rPr>
          <w:sz w:val="22"/>
          <w:lang w:bidi="it-IT"/>
        </w:rPr>
        <w:t xml:space="preserve"> </w:t>
      </w:r>
    </w:p>
    <w:p w14:paraId="4904C03A" w14:textId="77777777" w:rsidR="00C03F87" w:rsidRPr="00721B44" w:rsidRDefault="00C03F87" w:rsidP="00C733B3">
      <w:pPr>
        <w:pStyle w:val="Default"/>
        <w:rPr>
          <w:sz w:val="22"/>
        </w:rPr>
      </w:pPr>
      <w:r>
        <w:rPr>
          <w:sz w:val="22"/>
          <w:lang w:bidi="it-IT"/>
        </w:rPr>
        <w:t>Cellulosa microcristallina</w:t>
      </w:r>
    </w:p>
    <w:p w14:paraId="7B4AAAEA" w14:textId="6DF37341" w:rsidR="00C03F87" w:rsidRPr="00721B44" w:rsidRDefault="00C03F87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Ipromellosa</w:t>
      </w:r>
      <w:proofErr w:type="spellEnd"/>
      <w:r>
        <w:rPr>
          <w:sz w:val="22"/>
          <w:lang w:bidi="it-IT"/>
        </w:rPr>
        <w:t xml:space="preserve"> </w:t>
      </w:r>
    </w:p>
    <w:p w14:paraId="7E1333D1" w14:textId="77777777" w:rsidR="00C03F87" w:rsidRPr="00721B44" w:rsidRDefault="00C03F87" w:rsidP="00C733B3">
      <w:pPr>
        <w:pStyle w:val="Default"/>
        <w:rPr>
          <w:sz w:val="22"/>
        </w:rPr>
      </w:pPr>
      <w:r>
        <w:rPr>
          <w:sz w:val="22"/>
          <w:lang w:bidi="it-IT"/>
        </w:rPr>
        <w:t xml:space="preserve">Silice colloidale anidra </w:t>
      </w:r>
    </w:p>
    <w:p w14:paraId="5B1F85DD" w14:textId="417F2FC0" w:rsidR="00C03F87" w:rsidRPr="0094657A" w:rsidRDefault="003C22DD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Mag</w:t>
      </w:r>
      <w:r w:rsidR="00F01A47">
        <w:rPr>
          <w:sz w:val="22"/>
          <w:lang w:bidi="it-IT"/>
        </w:rPr>
        <w:t>nesio s</w:t>
      </w:r>
      <w:r w:rsidR="00C03F87">
        <w:rPr>
          <w:sz w:val="22"/>
          <w:lang w:bidi="it-IT"/>
        </w:rPr>
        <w:t>tearato</w:t>
      </w:r>
    </w:p>
    <w:p w14:paraId="41DB6B96" w14:textId="77777777" w:rsidR="00E817E2" w:rsidRPr="00721B44" w:rsidRDefault="00E817E2" w:rsidP="00C733B3">
      <w:pPr>
        <w:pStyle w:val="Default"/>
        <w:rPr>
          <w:sz w:val="22"/>
        </w:rPr>
      </w:pPr>
    </w:p>
    <w:p w14:paraId="59B0405B" w14:textId="66516390" w:rsidR="00C03F87" w:rsidRPr="00721B44" w:rsidRDefault="00C03F87" w:rsidP="00C733B3">
      <w:pPr>
        <w:pStyle w:val="Default"/>
        <w:rPr>
          <w:sz w:val="22"/>
          <w:u w:val="single"/>
        </w:rPr>
      </w:pPr>
      <w:r w:rsidRPr="002A7684">
        <w:rPr>
          <w:sz w:val="22"/>
          <w:u w:val="single"/>
          <w:lang w:bidi="it-IT"/>
        </w:rPr>
        <w:t xml:space="preserve">Rivestimento della compressa 25 mg e 250 mg: </w:t>
      </w:r>
    </w:p>
    <w:p w14:paraId="68041339" w14:textId="77777777" w:rsidR="00C03F87" w:rsidRDefault="00C03F87" w:rsidP="00C733B3">
      <w:pPr>
        <w:pStyle w:val="Default"/>
        <w:rPr>
          <w:sz w:val="22"/>
          <w:szCs w:val="22"/>
        </w:rPr>
      </w:pPr>
      <w:proofErr w:type="spellStart"/>
      <w:r w:rsidRPr="00C03F87">
        <w:rPr>
          <w:sz w:val="22"/>
          <w:lang w:bidi="it-IT"/>
        </w:rPr>
        <w:t>Ipromellosa</w:t>
      </w:r>
      <w:proofErr w:type="spellEnd"/>
      <w:r w:rsidRPr="00C03F87">
        <w:rPr>
          <w:sz w:val="22"/>
          <w:lang w:bidi="it-IT"/>
        </w:rPr>
        <w:t xml:space="preserve"> </w:t>
      </w:r>
      <w:bookmarkStart w:id="4" w:name="_Hlk63761556"/>
      <w:r w:rsidRPr="00C03F87">
        <w:rPr>
          <w:sz w:val="22"/>
          <w:lang w:bidi="it-IT"/>
        </w:rPr>
        <w:t>(E464)</w:t>
      </w:r>
      <w:bookmarkEnd w:id="4"/>
    </w:p>
    <w:p w14:paraId="166D29D1" w14:textId="77777777" w:rsidR="00C03F87" w:rsidRDefault="00C03F87" w:rsidP="00C733B3">
      <w:pPr>
        <w:pStyle w:val="Default"/>
        <w:rPr>
          <w:sz w:val="22"/>
          <w:szCs w:val="22"/>
        </w:rPr>
      </w:pPr>
      <w:proofErr w:type="spellStart"/>
      <w:r>
        <w:rPr>
          <w:sz w:val="22"/>
          <w:lang w:bidi="it-IT"/>
        </w:rPr>
        <w:t>Polidestrosio</w:t>
      </w:r>
      <w:proofErr w:type="spellEnd"/>
      <w:r>
        <w:rPr>
          <w:sz w:val="22"/>
          <w:lang w:bidi="it-IT"/>
        </w:rPr>
        <w:t xml:space="preserve"> (E1200) </w:t>
      </w:r>
    </w:p>
    <w:p w14:paraId="339CE29A" w14:textId="77777777" w:rsidR="00C03F87" w:rsidRDefault="00C03F87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Biossido di titanio (E171)</w:t>
      </w:r>
    </w:p>
    <w:p w14:paraId="12C009B2" w14:textId="77777777" w:rsidR="00C03F87" w:rsidRDefault="00C03F87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Maltodestrina</w:t>
      </w:r>
    </w:p>
    <w:p w14:paraId="2FC73DA4" w14:textId="719A779D" w:rsidR="00C03F87" w:rsidRDefault="00C03F87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 xml:space="preserve">Trigliceridi a catena </w:t>
      </w:r>
      <w:r w:rsidR="00593BA3">
        <w:rPr>
          <w:sz w:val="22"/>
          <w:lang w:bidi="it-IT"/>
        </w:rPr>
        <w:t>media</w:t>
      </w:r>
    </w:p>
    <w:p w14:paraId="1A4AEDE0" w14:textId="77777777" w:rsidR="00C03F87" w:rsidRDefault="00C03F87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Ossido di ferro giallo (E172)</w:t>
      </w:r>
    </w:p>
    <w:p w14:paraId="12A557C3" w14:textId="77777777" w:rsidR="00C03F87" w:rsidRDefault="00C03F87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Ossido di ferro nero (E172)</w:t>
      </w:r>
    </w:p>
    <w:p w14:paraId="68160741" w14:textId="7BD2D3DE" w:rsidR="00850F90" w:rsidRPr="00721B44" w:rsidRDefault="00C03F87" w:rsidP="00C733B3">
      <w:pPr>
        <w:pStyle w:val="Default"/>
        <w:rPr>
          <w:sz w:val="22"/>
        </w:rPr>
      </w:pPr>
      <w:r>
        <w:rPr>
          <w:sz w:val="22"/>
          <w:lang w:bidi="it-IT"/>
        </w:rPr>
        <w:t xml:space="preserve">Ossido di ferro rosso (E172). </w:t>
      </w:r>
    </w:p>
    <w:p w14:paraId="1750D2DA" w14:textId="77777777" w:rsidR="00E817E2" w:rsidRPr="00721B44" w:rsidRDefault="00E817E2" w:rsidP="00C733B3">
      <w:pPr>
        <w:pStyle w:val="Default"/>
        <w:rPr>
          <w:sz w:val="22"/>
        </w:rPr>
      </w:pPr>
    </w:p>
    <w:p w14:paraId="17BFE54F" w14:textId="081A74F3" w:rsidR="00C03F87" w:rsidRPr="00B1724D" w:rsidRDefault="00C03F87" w:rsidP="00C733B3">
      <w:pPr>
        <w:pStyle w:val="Default"/>
        <w:rPr>
          <w:sz w:val="22"/>
          <w:szCs w:val="22"/>
          <w:u w:val="single"/>
        </w:rPr>
      </w:pPr>
      <w:r w:rsidRPr="002A7684">
        <w:rPr>
          <w:sz w:val="22"/>
          <w:u w:val="single"/>
          <w:lang w:bidi="it-IT"/>
        </w:rPr>
        <w:t xml:space="preserve">Rivestimento della compressa 50 mg: </w:t>
      </w:r>
    </w:p>
    <w:p w14:paraId="1E780911" w14:textId="33A708C2" w:rsidR="00C03F87" w:rsidRPr="00B1724D" w:rsidRDefault="00C03F87" w:rsidP="00C733B3">
      <w:pPr>
        <w:pStyle w:val="Default"/>
        <w:rPr>
          <w:sz w:val="22"/>
          <w:szCs w:val="22"/>
        </w:rPr>
      </w:pPr>
      <w:proofErr w:type="spellStart"/>
      <w:r w:rsidRPr="00B021D9">
        <w:rPr>
          <w:sz w:val="22"/>
          <w:lang w:bidi="it-IT"/>
        </w:rPr>
        <w:t>Ipromellosa</w:t>
      </w:r>
      <w:proofErr w:type="spellEnd"/>
      <w:r w:rsidRPr="00B021D9">
        <w:rPr>
          <w:sz w:val="22"/>
          <w:lang w:bidi="it-IT"/>
        </w:rPr>
        <w:t xml:space="preserve"> (E464)</w:t>
      </w:r>
    </w:p>
    <w:p w14:paraId="17F8E1F2" w14:textId="77777777" w:rsidR="00C03F87" w:rsidRPr="00C03F87" w:rsidRDefault="00C03F87" w:rsidP="00C733B3">
      <w:pPr>
        <w:pStyle w:val="Default"/>
        <w:rPr>
          <w:sz w:val="22"/>
          <w:szCs w:val="22"/>
        </w:rPr>
      </w:pPr>
      <w:proofErr w:type="spellStart"/>
      <w:r w:rsidRPr="00C03F87">
        <w:rPr>
          <w:sz w:val="22"/>
          <w:lang w:bidi="it-IT"/>
        </w:rPr>
        <w:t>Polidestrosio</w:t>
      </w:r>
      <w:proofErr w:type="spellEnd"/>
      <w:r w:rsidRPr="00C03F87">
        <w:rPr>
          <w:sz w:val="22"/>
          <w:lang w:bidi="it-IT"/>
        </w:rPr>
        <w:t xml:space="preserve"> (E1200) </w:t>
      </w:r>
    </w:p>
    <w:p w14:paraId="41C5F8B9" w14:textId="77777777" w:rsidR="00C03F87" w:rsidRPr="00C03F87" w:rsidRDefault="00C03F87" w:rsidP="00C733B3">
      <w:pPr>
        <w:pStyle w:val="Default"/>
        <w:rPr>
          <w:sz w:val="22"/>
          <w:szCs w:val="22"/>
        </w:rPr>
      </w:pPr>
      <w:r w:rsidRPr="00C03F87">
        <w:rPr>
          <w:sz w:val="22"/>
          <w:lang w:bidi="it-IT"/>
        </w:rPr>
        <w:t>Biossido di titanio (E171)</w:t>
      </w:r>
    </w:p>
    <w:p w14:paraId="0A09F1DC" w14:textId="77777777" w:rsidR="00E817E2" w:rsidRPr="00B1724D" w:rsidRDefault="00C03F87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Maltodestrina</w:t>
      </w:r>
    </w:p>
    <w:p w14:paraId="68ED2EA9" w14:textId="4DEBAAB6" w:rsidR="00C03F87" w:rsidRPr="00721B44" w:rsidRDefault="00E817E2" w:rsidP="00C733B3">
      <w:pPr>
        <w:pStyle w:val="Default"/>
        <w:rPr>
          <w:sz w:val="22"/>
        </w:rPr>
      </w:pPr>
      <w:r>
        <w:rPr>
          <w:sz w:val="22"/>
          <w:lang w:bidi="it-IT"/>
        </w:rPr>
        <w:t>Trigliceridi a catena</w:t>
      </w:r>
      <w:r w:rsidR="003E0C6D" w:rsidRPr="003E0C6D">
        <w:rPr>
          <w:sz w:val="22"/>
          <w:lang w:bidi="it-IT"/>
        </w:rPr>
        <w:t xml:space="preserve"> </w:t>
      </w:r>
      <w:r w:rsidR="003E0C6D">
        <w:rPr>
          <w:sz w:val="22"/>
          <w:lang w:bidi="it-IT"/>
        </w:rPr>
        <w:t>media</w:t>
      </w:r>
      <w:r>
        <w:rPr>
          <w:sz w:val="22"/>
          <w:lang w:bidi="it-IT"/>
        </w:rPr>
        <w:t xml:space="preserve">. </w:t>
      </w:r>
    </w:p>
    <w:p w14:paraId="44076ABF" w14:textId="77777777" w:rsidR="00E817E2" w:rsidRPr="00721B44" w:rsidRDefault="00E817E2" w:rsidP="00C733B3">
      <w:pPr>
        <w:pStyle w:val="Default"/>
        <w:rPr>
          <w:sz w:val="22"/>
        </w:rPr>
      </w:pPr>
    </w:p>
    <w:p w14:paraId="60510956" w14:textId="78B6B0D0" w:rsidR="00AA0F71" w:rsidRPr="00721B44" w:rsidRDefault="00AA0F71" w:rsidP="00C733B3">
      <w:pPr>
        <w:pStyle w:val="Default"/>
        <w:rPr>
          <w:sz w:val="22"/>
          <w:u w:val="single"/>
        </w:rPr>
      </w:pPr>
      <w:r w:rsidRPr="002A7684">
        <w:rPr>
          <w:sz w:val="22"/>
          <w:u w:val="single"/>
          <w:lang w:bidi="it-IT"/>
        </w:rPr>
        <w:t xml:space="preserve">Rivestimento della compressa 100 mg: </w:t>
      </w:r>
    </w:p>
    <w:p w14:paraId="36D1946D" w14:textId="77777777" w:rsidR="00AA0F71" w:rsidRPr="00721B44" w:rsidRDefault="00AA0F71" w:rsidP="00C733B3">
      <w:pPr>
        <w:pStyle w:val="Default"/>
        <w:rPr>
          <w:sz w:val="22"/>
        </w:rPr>
      </w:pPr>
      <w:proofErr w:type="spellStart"/>
      <w:r>
        <w:rPr>
          <w:sz w:val="22"/>
          <w:lang w:bidi="it-IT"/>
        </w:rPr>
        <w:t>Ipromellosa</w:t>
      </w:r>
      <w:proofErr w:type="spellEnd"/>
      <w:r>
        <w:rPr>
          <w:sz w:val="22"/>
          <w:lang w:bidi="it-IT"/>
        </w:rPr>
        <w:t xml:space="preserve"> (E464) </w:t>
      </w:r>
    </w:p>
    <w:p w14:paraId="144CDC9A" w14:textId="77777777" w:rsidR="00AA0F71" w:rsidRPr="00B1724D" w:rsidRDefault="00AA0F71" w:rsidP="00C733B3">
      <w:pPr>
        <w:pStyle w:val="Default"/>
        <w:rPr>
          <w:sz w:val="22"/>
          <w:szCs w:val="22"/>
        </w:rPr>
      </w:pPr>
      <w:proofErr w:type="spellStart"/>
      <w:r w:rsidRPr="00125859">
        <w:rPr>
          <w:sz w:val="22"/>
          <w:lang w:bidi="it-IT"/>
        </w:rPr>
        <w:t>Polidestrosio</w:t>
      </w:r>
      <w:proofErr w:type="spellEnd"/>
      <w:r w:rsidRPr="00125859">
        <w:rPr>
          <w:sz w:val="22"/>
          <w:lang w:bidi="it-IT"/>
        </w:rPr>
        <w:t xml:space="preserve"> (E1200) </w:t>
      </w:r>
    </w:p>
    <w:p w14:paraId="0A3CC7AC" w14:textId="77777777" w:rsidR="00AA0F71" w:rsidRPr="00B1724D" w:rsidRDefault="00AA0F71" w:rsidP="00C733B3">
      <w:pPr>
        <w:pStyle w:val="Default"/>
        <w:rPr>
          <w:sz w:val="22"/>
          <w:szCs w:val="22"/>
        </w:rPr>
      </w:pPr>
      <w:r w:rsidRPr="00125859">
        <w:rPr>
          <w:sz w:val="22"/>
          <w:lang w:bidi="it-IT"/>
        </w:rPr>
        <w:t xml:space="preserve">Biossido di titanio (E171) </w:t>
      </w:r>
    </w:p>
    <w:p w14:paraId="01DA9BA5" w14:textId="427BCF01" w:rsidR="00AA0F71" w:rsidRPr="00721B44" w:rsidRDefault="00AA0F71" w:rsidP="00C733B3">
      <w:pPr>
        <w:pStyle w:val="Default"/>
        <w:rPr>
          <w:sz w:val="22"/>
        </w:rPr>
      </w:pPr>
      <w:r>
        <w:rPr>
          <w:sz w:val="22"/>
          <w:lang w:bidi="it-IT"/>
        </w:rPr>
        <w:t>Maltodestrina</w:t>
      </w:r>
    </w:p>
    <w:p w14:paraId="0E1CF633" w14:textId="6500D883" w:rsidR="00AA0F71" w:rsidRPr="00721B44" w:rsidRDefault="00AA0F71" w:rsidP="00C733B3">
      <w:pPr>
        <w:pStyle w:val="Default"/>
        <w:rPr>
          <w:sz w:val="22"/>
        </w:rPr>
      </w:pPr>
      <w:r>
        <w:rPr>
          <w:sz w:val="22"/>
          <w:lang w:bidi="it-IT"/>
        </w:rPr>
        <w:t>Trigliceridi a catena</w:t>
      </w:r>
      <w:r w:rsidR="003E0C6D">
        <w:rPr>
          <w:sz w:val="22"/>
          <w:lang w:bidi="it-IT"/>
        </w:rPr>
        <w:t xml:space="preserve"> media</w:t>
      </w:r>
    </w:p>
    <w:p w14:paraId="421E0BD1" w14:textId="2D40BB1E" w:rsidR="00AA0F71" w:rsidRPr="00721B44" w:rsidRDefault="00AA0F71" w:rsidP="00C733B3">
      <w:pPr>
        <w:pStyle w:val="Default"/>
        <w:rPr>
          <w:sz w:val="22"/>
        </w:rPr>
      </w:pPr>
      <w:r>
        <w:rPr>
          <w:sz w:val="22"/>
          <w:lang w:bidi="it-IT"/>
        </w:rPr>
        <w:t>Ossido di ferro giallo (E172).</w:t>
      </w:r>
    </w:p>
    <w:p w14:paraId="582367B5" w14:textId="77777777" w:rsidR="00E817E2" w:rsidRPr="00721B44" w:rsidRDefault="00E817E2" w:rsidP="00C733B3">
      <w:pPr>
        <w:pStyle w:val="Default"/>
        <w:rPr>
          <w:sz w:val="22"/>
        </w:rPr>
      </w:pPr>
    </w:p>
    <w:p w14:paraId="7D2DA165" w14:textId="4C78FCF3" w:rsidR="00AA0F71" w:rsidRPr="00721B44" w:rsidRDefault="00AA0F71" w:rsidP="00C733B3">
      <w:pPr>
        <w:pStyle w:val="Default"/>
        <w:rPr>
          <w:sz w:val="22"/>
          <w:u w:val="single"/>
        </w:rPr>
      </w:pPr>
      <w:r w:rsidRPr="002A7684">
        <w:rPr>
          <w:sz w:val="22"/>
          <w:u w:val="single"/>
          <w:lang w:bidi="it-IT"/>
        </w:rPr>
        <w:t xml:space="preserve">Rivestimento della compressa 150 mg e 200 mg: </w:t>
      </w:r>
    </w:p>
    <w:p w14:paraId="17AC7C92" w14:textId="77777777" w:rsidR="00AA0F71" w:rsidRDefault="00AA0F71" w:rsidP="00C733B3">
      <w:pPr>
        <w:pStyle w:val="Default"/>
        <w:rPr>
          <w:sz w:val="22"/>
          <w:szCs w:val="22"/>
        </w:rPr>
      </w:pPr>
      <w:proofErr w:type="spellStart"/>
      <w:r w:rsidRPr="00AA0F71">
        <w:rPr>
          <w:sz w:val="22"/>
          <w:lang w:bidi="it-IT"/>
        </w:rPr>
        <w:t>Ipromellosa</w:t>
      </w:r>
      <w:proofErr w:type="spellEnd"/>
      <w:r w:rsidRPr="00AA0F71">
        <w:rPr>
          <w:sz w:val="22"/>
          <w:lang w:bidi="it-IT"/>
        </w:rPr>
        <w:t xml:space="preserve"> (E464)</w:t>
      </w:r>
    </w:p>
    <w:p w14:paraId="7B66B6B8" w14:textId="77777777" w:rsidR="00AA0F71" w:rsidRDefault="00AA0F71" w:rsidP="00C733B3">
      <w:pPr>
        <w:pStyle w:val="Default"/>
        <w:rPr>
          <w:sz w:val="22"/>
          <w:szCs w:val="22"/>
        </w:rPr>
      </w:pPr>
      <w:proofErr w:type="spellStart"/>
      <w:r>
        <w:rPr>
          <w:sz w:val="22"/>
          <w:lang w:bidi="it-IT"/>
        </w:rPr>
        <w:t>Polidestrosio</w:t>
      </w:r>
      <w:proofErr w:type="spellEnd"/>
      <w:r>
        <w:rPr>
          <w:sz w:val="22"/>
          <w:lang w:bidi="it-IT"/>
        </w:rPr>
        <w:t xml:space="preserve"> (E1200)</w:t>
      </w:r>
    </w:p>
    <w:p w14:paraId="27A94CF3" w14:textId="77777777" w:rsidR="00AA0F71" w:rsidRDefault="00AA0F71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Biossido di titanio (E171)</w:t>
      </w:r>
    </w:p>
    <w:p w14:paraId="1AFF396C" w14:textId="77777777" w:rsidR="00AA0F71" w:rsidRDefault="00AA0F71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Maltodestrina</w:t>
      </w:r>
    </w:p>
    <w:p w14:paraId="44A132E8" w14:textId="6C7F15F8" w:rsidR="00AA0F71" w:rsidRDefault="00AA0F71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Trigliceridi a catena</w:t>
      </w:r>
      <w:r w:rsidR="003E0C6D" w:rsidRPr="003E0C6D">
        <w:rPr>
          <w:sz w:val="22"/>
          <w:lang w:bidi="it-IT"/>
        </w:rPr>
        <w:t xml:space="preserve"> </w:t>
      </w:r>
      <w:r w:rsidR="003E0C6D">
        <w:rPr>
          <w:sz w:val="22"/>
          <w:lang w:bidi="it-IT"/>
        </w:rPr>
        <w:t>media</w:t>
      </w:r>
    </w:p>
    <w:p w14:paraId="194C9A4E" w14:textId="77777777" w:rsidR="00AA0F71" w:rsidRDefault="00AA0F71" w:rsidP="00C733B3">
      <w:pPr>
        <w:pStyle w:val="Default"/>
        <w:rPr>
          <w:sz w:val="22"/>
          <w:szCs w:val="22"/>
        </w:rPr>
      </w:pPr>
      <w:r>
        <w:rPr>
          <w:sz w:val="22"/>
          <w:lang w:bidi="it-IT"/>
        </w:rPr>
        <w:t>Ossido di ferro giallo (E172)</w:t>
      </w:r>
    </w:p>
    <w:p w14:paraId="593DA707" w14:textId="1BCC9F4E" w:rsidR="00AA0F71" w:rsidRDefault="00AA0F71" w:rsidP="00C733B3">
      <w:pPr>
        <w:pStyle w:val="Default"/>
        <w:rPr>
          <w:sz w:val="22"/>
          <w:lang w:bidi="it-IT"/>
        </w:rPr>
      </w:pPr>
      <w:r>
        <w:rPr>
          <w:sz w:val="22"/>
          <w:lang w:bidi="it-IT"/>
        </w:rPr>
        <w:t>Ossido di ferro rosso (E172).</w:t>
      </w:r>
    </w:p>
    <w:p w14:paraId="15D4775B" w14:textId="77777777" w:rsidR="00931244" w:rsidRDefault="00931244" w:rsidP="00C733B3">
      <w:pPr>
        <w:pStyle w:val="Default"/>
        <w:rPr>
          <w:sz w:val="22"/>
          <w:szCs w:val="22"/>
        </w:rPr>
      </w:pPr>
    </w:p>
    <w:p w14:paraId="7D989B1B" w14:textId="4929FCDB" w:rsidR="00062749" w:rsidRDefault="00062749" w:rsidP="00B1724D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lang w:bidi="it-IT"/>
        </w:rPr>
      </w:pPr>
      <w:r w:rsidRPr="005A042B">
        <w:rPr>
          <w:rFonts w:ascii="Times New Roman" w:hAnsi="Times New Roman" w:cs="Times New Roman"/>
          <w:b/>
          <w:lang w:bidi="it-IT"/>
        </w:rPr>
        <w:t>6.2</w:t>
      </w:r>
      <w:r w:rsidR="00931244">
        <w:rPr>
          <w:rFonts w:ascii="Times New Roman" w:hAnsi="Times New Roman" w:cs="Times New Roman"/>
          <w:b/>
          <w:lang w:bidi="it-IT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Incompatibilità</w:t>
      </w:r>
      <w:r w:rsidRPr="005A042B">
        <w:rPr>
          <w:rFonts w:ascii="Times New Roman" w:hAnsi="Times New Roman" w:cs="Times New Roman"/>
          <w:b/>
          <w:lang w:bidi="it-IT"/>
        </w:rPr>
        <w:t xml:space="preserve"> </w:t>
      </w:r>
    </w:p>
    <w:p w14:paraId="12F3A5C5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2834428" w14:textId="19FEA4EC" w:rsidR="00062749" w:rsidRDefault="00062749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 xml:space="preserve">Non </w:t>
      </w:r>
      <w:r w:rsidR="00EC396A">
        <w:rPr>
          <w:rFonts w:ascii="Times New Roman" w:hAnsi="Times New Roman" w:cs="Times New Roman"/>
          <w:lang w:bidi="it-IT"/>
        </w:rPr>
        <w:t>pertinente</w:t>
      </w:r>
      <w:r w:rsidR="00931244">
        <w:rPr>
          <w:rFonts w:ascii="Times New Roman" w:hAnsi="Times New Roman" w:cs="Times New Roman"/>
          <w:lang w:bidi="it-IT"/>
        </w:rPr>
        <w:t>.</w:t>
      </w:r>
    </w:p>
    <w:p w14:paraId="282B2386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0DA9B5B" w14:textId="6AD63200" w:rsidR="00062749" w:rsidRDefault="00062749" w:rsidP="00B1724D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lang w:bidi="it-IT"/>
        </w:rPr>
      </w:pPr>
      <w:r w:rsidRPr="005A042B">
        <w:rPr>
          <w:rFonts w:ascii="Times New Roman" w:hAnsi="Times New Roman" w:cs="Times New Roman"/>
          <w:b/>
          <w:lang w:bidi="it-IT"/>
        </w:rPr>
        <w:t>6.3</w:t>
      </w:r>
      <w:r w:rsidR="00931244">
        <w:rPr>
          <w:rFonts w:ascii="Times New Roman" w:hAnsi="Times New Roman" w:cs="Times New Roman"/>
          <w:b/>
          <w:lang w:bidi="it-IT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Periodo</w:t>
      </w:r>
      <w:r w:rsidRPr="005A042B">
        <w:rPr>
          <w:rFonts w:ascii="Times New Roman" w:hAnsi="Times New Roman" w:cs="Times New Roman"/>
          <w:b/>
          <w:lang w:bidi="it-IT"/>
        </w:rPr>
        <w:t xml:space="preserve"> di validità </w:t>
      </w:r>
    </w:p>
    <w:p w14:paraId="57B2DD93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1DCC5E1" w14:textId="77777777" w:rsidR="00931244" w:rsidRDefault="00B83D60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>3 anni</w:t>
      </w:r>
      <w:r w:rsidR="00931244">
        <w:rPr>
          <w:rFonts w:ascii="Times New Roman" w:hAnsi="Times New Roman" w:cs="Times New Roman"/>
          <w:lang w:bidi="it-IT"/>
        </w:rPr>
        <w:t>.</w:t>
      </w:r>
    </w:p>
    <w:p w14:paraId="3D86D052" w14:textId="36491F0A" w:rsidR="00062749" w:rsidRPr="00721B44" w:rsidRDefault="00062749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7F2A098" w14:textId="2E3891FC" w:rsidR="00062749" w:rsidRDefault="00062749" w:rsidP="00B1724D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lang w:bidi="it-IT"/>
        </w:rPr>
      </w:pPr>
      <w:r w:rsidRPr="005A042B">
        <w:rPr>
          <w:rFonts w:ascii="Times New Roman" w:hAnsi="Times New Roman" w:cs="Times New Roman"/>
          <w:b/>
          <w:lang w:bidi="it-IT"/>
        </w:rPr>
        <w:t>6.4</w:t>
      </w:r>
      <w:r w:rsidR="00931244">
        <w:rPr>
          <w:rFonts w:ascii="Times New Roman" w:hAnsi="Times New Roman" w:cs="Times New Roman"/>
          <w:b/>
          <w:lang w:bidi="it-IT"/>
        </w:rPr>
        <w:tab/>
      </w:r>
      <w:r w:rsidR="003605DC" w:rsidRPr="00B1724D">
        <w:rPr>
          <w:rFonts w:ascii="Times New Roman" w:eastAsia="Times New Roman" w:hAnsi="Times New Roman" w:cs="Times New Roman"/>
          <w:b/>
          <w:szCs w:val="20"/>
        </w:rPr>
        <w:t>Precauzioni</w:t>
      </w:r>
      <w:r w:rsidR="003605DC">
        <w:rPr>
          <w:rFonts w:ascii="Times New Roman" w:hAnsi="Times New Roman" w:cs="Times New Roman"/>
          <w:b/>
          <w:lang w:bidi="it-IT"/>
        </w:rPr>
        <w:t xml:space="preserve"> particolari </w:t>
      </w:r>
      <w:r w:rsidRPr="005A042B">
        <w:rPr>
          <w:rFonts w:ascii="Times New Roman" w:hAnsi="Times New Roman" w:cs="Times New Roman"/>
          <w:b/>
          <w:lang w:bidi="it-IT"/>
        </w:rPr>
        <w:t xml:space="preserve">per la conservazione </w:t>
      </w:r>
    </w:p>
    <w:p w14:paraId="47EA6502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98B2CE5" w14:textId="1A948C81" w:rsidR="00062749" w:rsidRDefault="00062749" w:rsidP="00C733B3">
      <w:pPr>
        <w:spacing w:after="0" w:line="240" w:lineRule="auto"/>
        <w:rPr>
          <w:rFonts w:ascii="Times New Roman" w:hAnsi="Times New Roman" w:cs="Times New Roman"/>
          <w:lang w:bidi="it-IT"/>
        </w:rPr>
      </w:pPr>
      <w:r w:rsidRPr="005A042B">
        <w:rPr>
          <w:rFonts w:ascii="Times New Roman" w:hAnsi="Times New Roman" w:cs="Times New Roman"/>
          <w:lang w:bidi="it-IT"/>
        </w:rPr>
        <w:t xml:space="preserve">Questo </w:t>
      </w:r>
      <w:r w:rsidR="00EC396A">
        <w:rPr>
          <w:rFonts w:ascii="Times New Roman" w:hAnsi="Times New Roman" w:cs="Times New Roman"/>
          <w:lang w:bidi="it-IT"/>
        </w:rPr>
        <w:t>medicinale</w:t>
      </w:r>
      <w:r w:rsidR="00EC396A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 xml:space="preserve">non richiede </w:t>
      </w:r>
      <w:r w:rsidR="003E0C6D">
        <w:rPr>
          <w:rFonts w:ascii="Times New Roman" w:hAnsi="Times New Roman" w:cs="Times New Roman"/>
          <w:lang w:bidi="it-IT"/>
        </w:rPr>
        <w:t xml:space="preserve">alcuna </w:t>
      </w:r>
      <w:r w:rsidRPr="005A042B">
        <w:rPr>
          <w:rFonts w:ascii="Times New Roman" w:hAnsi="Times New Roman" w:cs="Times New Roman"/>
          <w:lang w:bidi="it-IT"/>
        </w:rPr>
        <w:t>condizion</w:t>
      </w:r>
      <w:r w:rsidR="003E0C6D">
        <w:rPr>
          <w:rFonts w:ascii="Times New Roman" w:hAnsi="Times New Roman" w:cs="Times New Roman"/>
          <w:lang w:bidi="it-IT"/>
        </w:rPr>
        <w:t>e</w:t>
      </w:r>
      <w:r w:rsidRPr="005A042B">
        <w:rPr>
          <w:rFonts w:ascii="Times New Roman" w:hAnsi="Times New Roman" w:cs="Times New Roman"/>
          <w:lang w:bidi="it-IT"/>
        </w:rPr>
        <w:t xml:space="preserve"> </w:t>
      </w:r>
      <w:r w:rsidR="003E0C6D" w:rsidRPr="005A042B">
        <w:rPr>
          <w:rFonts w:ascii="Times New Roman" w:hAnsi="Times New Roman" w:cs="Times New Roman"/>
          <w:lang w:bidi="it-IT"/>
        </w:rPr>
        <w:t>particolar</w:t>
      </w:r>
      <w:r w:rsidR="003E0C6D">
        <w:rPr>
          <w:rFonts w:ascii="Times New Roman" w:hAnsi="Times New Roman" w:cs="Times New Roman"/>
          <w:lang w:bidi="it-IT"/>
        </w:rPr>
        <w:t>e</w:t>
      </w:r>
      <w:r w:rsidR="003E0C6D" w:rsidRPr="005A042B">
        <w:rPr>
          <w:rFonts w:ascii="Times New Roman" w:hAnsi="Times New Roman" w:cs="Times New Roman"/>
          <w:lang w:bidi="it-IT"/>
        </w:rPr>
        <w:t xml:space="preserve"> </w:t>
      </w:r>
      <w:r w:rsidRPr="005A042B">
        <w:rPr>
          <w:rFonts w:ascii="Times New Roman" w:hAnsi="Times New Roman" w:cs="Times New Roman"/>
          <w:lang w:bidi="it-IT"/>
        </w:rPr>
        <w:t>di conservazione.</w:t>
      </w:r>
    </w:p>
    <w:p w14:paraId="3E9B24B4" w14:textId="77777777" w:rsidR="00931244" w:rsidRPr="00721B44" w:rsidRDefault="00931244" w:rsidP="00C733B3">
      <w:pPr>
        <w:spacing w:after="0" w:line="240" w:lineRule="auto"/>
        <w:rPr>
          <w:rFonts w:ascii="Times New Roman" w:hAnsi="Times New Roman"/>
          <w:color w:val="000000"/>
        </w:rPr>
      </w:pPr>
    </w:p>
    <w:p w14:paraId="5EEB8533" w14:textId="4B4531BC" w:rsidR="00062749" w:rsidRDefault="00062749" w:rsidP="00B1724D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lang w:bidi="it-IT"/>
        </w:rPr>
      </w:pPr>
      <w:r w:rsidRPr="005A042B">
        <w:rPr>
          <w:rFonts w:ascii="Times New Roman" w:hAnsi="Times New Roman" w:cs="Times New Roman"/>
          <w:b/>
          <w:lang w:bidi="it-IT"/>
        </w:rPr>
        <w:t>6.5</w:t>
      </w:r>
      <w:r w:rsidR="00931244">
        <w:rPr>
          <w:rFonts w:ascii="Times New Roman" w:hAnsi="Times New Roman" w:cs="Times New Roman"/>
          <w:b/>
          <w:lang w:bidi="it-IT"/>
        </w:rPr>
        <w:tab/>
      </w:r>
      <w:r w:rsidRPr="005A042B">
        <w:rPr>
          <w:rFonts w:ascii="Times New Roman" w:hAnsi="Times New Roman" w:cs="Times New Roman"/>
          <w:b/>
          <w:lang w:bidi="it-IT"/>
        </w:rPr>
        <w:t>Natura e contenuto del con</w:t>
      </w:r>
      <w:r w:rsidR="0098374C">
        <w:rPr>
          <w:rFonts w:ascii="Times New Roman" w:hAnsi="Times New Roman" w:cs="Times New Roman"/>
          <w:b/>
          <w:lang w:bidi="it-IT"/>
        </w:rPr>
        <w:t>tenitore</w:t>
      </w:r>
    </w:p>
    <w:p w14:paraId="60DBF58A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6976A38" w14:textId="55472F5F" w:rsidR="00125859" w:rsidRPr="00721B44" w:rsidRDefault="005256E8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042B">
        <w:rPr>
          <w:rFonts w:ascii="Times New Roman" w:hAnsi="Times New Roman" w:cs="Times New Roman"/>
          <w:lang w:bidi="it-IT"/>
        </w:rPr>
        <w:t xml:space="preserve">Blister </w:t>
      </w:r>
      <w:r w:rsidR="007E7770">
        <w:rPr>
          <w:rFonts w:ascii="Times New Roman" w:hAnsi="Times New Roman" w:cs="Times New Roman"/>
          <w:lang w:bidi="it-IT"/>
        </w:rPr>
        <w:t xml:space="preserve">in </w:t>
      </w:r>
      <w:r w:rsidRPr="005A042B">
        <w:rPr>
          <w:rFonts w:ascii="Times New Roman" w:hAnsi="Times New Roman" w:cs="Times New Roman"/>
          <w:lang w:bidi="it-IT"/>
        </w:rPr>
        <w:t>PVC/</w:t>
      </w:r>
      <w:proofErr w:type="spellStart"/>
      <w:r w:rsidRPr="005A042B">
        <w:rPr>
          <w:rFonts w:ascii="Times New Roman" w:hAnsi="Times New Roman" w:cs="Times New Roman"/>
          <w:lang w:bidi="it-IT"/>
        </w:rPr>
        <w:t>PVdC</w:t>
      </w:r>
      <w:proofErr w:type="spellEnd"/>
      <w:r w:rsidRPr="005A042B">
        <w:rPr>
          <w:rFonts w:ascii="Times New Roman" w:hAnsi="Times New Roman" w:cs="Times New Roman"/>
          <w:lang w:bidi="it-IT"/>
        </w:rPr>
        <w:t>/PVC//</w:t>
      </w:r>
      <w:proofErr w:type="spellStart"/>
      <w:r w:rsidRPr="005A042B">
        <w:rPr>
          <w:rFonts w:ascii="Times New Roman" w:hAnsi="Times New Roman" w:cs="Times New Roman"/>
          <w:lang w:bidi="it-IT"/>
        </w:rPr>
        <w:t>Alu</w:t>
      </w:r>
      <w:proofErr w:type="spellEnd"/>
      <w:r w:rsidRPr="005A042B">
        <w:rPr>
          <w:rFonts w:ascii="Times New Roman" w:hAnsi="Times New Roman" w:cs="Times New Roman"/>
          <w:lang w:bidi="it-IT"/>
        </w:rPr>
        <w:t xml:space="preserve"> contenente 7, 28, 30, </w:t>
      </w:r>
      <w:r w:rsidR="00E27D4F">
        <w:rPr>
          <w:rFonts w:ascii="Times New Roman" w:hAnsi="Times New Roman" w:cs="Times New Roman"/>
          <w:lang w:bidi="it-IT"/>
        </w:rPr>
        <w:t xml:space="preserve">40, </w:t>
      </w:r>
      <w:r w:rsidRPr="005A042B">
        <w:rPr>
          <w:rFonts w:ascii="Times New Roman" w:hAnsi="Times New Roman" w:cs="Times New Roman"/>
          <w:lang w:bidi="it-IT"/>
        </w:rPr>
        <w:t xml:space="preserve">60 e 100 compresse a rilascio prolungato. </w:t>
      </w:r>
    </w:p>
    <w:p w14:paraId="49C4E8E9" w14:textId="35270C90" w:rsidR="00C165BF" w:rsidRDefault="00C165BF" w:rsidP="00C733B3">
      <w:pPr>
        <w:pStyle w:val="Default"/>
        <w:rPr>
          <w:sz w:val="22"/>
          <w:lang w:bidi="it-IT"/>
        </w:rPr>
      </w:pPr>
    </w:p>
    <w:p w14:paraId="5C3D24A3" w14:textId="3619BFE3" w:rsidR="00062749" w:rsidRDefault="00EC2A9F" w:rsidP="00C733B3">
      <w:pPr>
        <w:pStyle w:val="Default"/>
        <w:rPr>
          <w:sz w:val="22"/>
          <w:lang w:bidi="it-IT"/>
        </w:rPr>
      </w:pPr>
      <w:r>
        <w:rPr>
          <w:sz w:val="22"/>
          <w:lang w:bidi="it-IT"/>
        </w:rPr>
        <w:t>È possibile che n</w:t>
      </w:r>
      <w:r w:rsidR="005256E8" w:rsidRPr="007E7770">
        <w:rPr>
          <w:sz w:val="22"/>
          <w:lang w:bidi="it-IT"/>
        </w:rPr>
        <w:t xml:space="preserve">on tutte le confezioni </w:t>
      </w:r>
      <w:r>
        <w:rPr>
          <w:sz w:val="22"/>
          <w:lang w:bidi="it-IT"/>
        </w:rPr>
        <w:t>siano</w:t>
      </w:r>
      <w:r w:rsidR="005256E8" w:rsidRPr="007E7770">
        <w:rPr>
          <w:sz w:val="22"/>
          <w:lang w:bidi="it-IT"/>
        </w:rPr>
        <w:t xml:space="preserve"> commercializzate. </w:t>
      </w:r>
    </w:p>
    <w:p w14:paraId="2EC1AA51" w14:textId="77777777" w:rsidR="00931244" w:rsidRPr="00721B44" w:rsidRDefault="00931244" w:rsidP="00C733B3">
      <w:pPr>
        <w:pStyle w:val="Default"/>
      </w:pPr>
    </w:p>
    <w:p w14:paraId="30B35908" w14:textId="3891D430" w:rsidR="00062749" w:rsidRDefault="00062749" w:rsidP="00B1724D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lang w:bidi="it-IT"/>
        </w:rPr>
      </w:pPr>
      <w:r w:rsidRPr="005A042B">
        <w:rPr>
          <w:rFonts w:ascii="Times New Roman" w:hAnsi="Times New Roman" w:cs="Times New Roman"/>
          <w:b/>
          <w:lang w:bidi="it-IT"/>
        </w:rPr>
        <w:t>6.6</w:t>
      </w:r>
      <w:r w:rsidR="00931244">
        <w:rPr>
          <w:rFonts w:ascii="Times New Roman" w:hAnsi="Times New Roman" w:cs="Times New Roman"/>
          <w:b/>
          <w:lang w:bidi="it-IT"/>
        </w:rPr>
        <w:tab/>
      </w:r>
      <w:r w:rsidR="00C165BF" w:rsidRPr="00B1724D">
        <w:rPr>
          <w:rFonts w:ascii="Times New Roman" w:eastAsia="Times New Roman" w:hAnsi="Times New Roman" w:cs="Times New Roman"/>
          <w:b/>
          <w:szCs w:val="20"/>
        </w:rPr>
        <w:t>Precauzioni</w:t>
      </w:r>
      <w:r w:rsidR="00C165BF">
        <w:rPr>
          <w:rFonts w:ascii="Times New Roman" w:hAnsi="Times New Roman" w:cs="Times New Roman"/>
          <w:b/>
          <w:lang w:bidi="it-IT"/>
        </w:rPr>
        <w:t xml:space="preserve"> particolari </w:t>
      </w:r>
      <w:r w:rsidRPr="005A042B">
        <w:rPr>
          <w:rFonts w:ascii="Times New Roman" w:hAnsi="Times New Roman" w:cs="Times New Roman"/>
          <w:b/>
          <w:lang w:bidi="it-IT"/>
        </w:rPr>
        <w:t xml:space="preserve">per lo smaltimento </w:t>
      </w:r>
    </w:p>
    <w:p w14:paraId="2CC58258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84889AA" w14:textId="58C26D73" w:rsidR="00B83D60" w:rsidRDefault="0033499A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33499A">
        <w:rPr>
          <w:rFonts w:ascii="Times New Roman" w:hAnsi="Times New Roman" w:cs="Times New Roman"/>
          <w:lang w:bidi="it-IT"/>
        </w:rPr>
        <w:t xml:space="preserve">Nessuna istruzione particolare </w:t>
      </w:r>
    </w:p>
    <w:p w14:paraId="302645C2" w14:textId="77777777" w:rsidR="009312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</w:p>
    <w:p w14:paraId="474EEA82" w14:textId="77777777" w:rsidR="00931244" w:rsidRPr="00D27C89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0E535D2" w14:textId="7427BAAA" w:rsidR="00062749" w:rsidRPr="00B1724D" w:rsidRDefault="00062749" w:rsidP="00B1724D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B1724D">
        <w:rPr>
          <w:rFonts w:ascii="Times New Roman" w:eastAsia="Times New Roman" w:hAnsi="Times New Roman" w:cs="Times New Roman"/>
          <w:b/>
          <w:szCs w:val="20"/>
        </w:rPr>
        <w:t>7.</w:t>
      </w:r>
      <w:r w:rsidR="00931244" w:rsidRPr="00B1724D">
        <w:rPr>
          <w:rFonts w:ascii="Times New Roman" w:eastAsia="Times New Roman" w:hAnsi="Times New Roman" w:cs="Times New Roman"/>
          <w:b/>
          <w:szCs w:val="20"/>
        </w:rPr>
        <w:tab/>
      </w:r>
      <w:r w:rsidRPr="00B1724D">
        <w:rPr>
          <w:rFonts w:ascii="Times New Roman" w:eastAsia="Times New Roman" w:hAnsi="Times New Roman" w:cs="Times New Roman"/>
          <w:b/>
          <w:szCs w:val="20"/>
        </w:rPr>
        <w:t>T</w:t>
      </w:r>
      <w:r w:rsidR="00F144A0">
        <w:rPr>
          <w:rFonts w:ascii="Times New Roman" w:eastAsia="Times New Roman" w:hAnsi="Times New Roman" w:cs="Times New Roman"/>
          <w:b/>
          <w:szCs w:val="20"/>
        </w:rPr>
        <w:t>ITOLARE DELL’AUTORIZZAZIONE ALL’</w:t>
      </w:r>
      <w:r w:rsidRPr="00B1724D">
        <w:rPr>
          <w:rFonts w:ascii="Times New Roman" w:eastAsia="Times New Roman" w:hAnsi="Times New Roman" w:cs="Times New Roman"/>
          <w:b/>
          <w:szCs w:val="20"/>
        </w:rPr>
        <w:t xml:space="preserve">IMMISSIONE IN COMMERCIO </w:t>
      </w:r>
    </w:p>
    <w:p w14:paraId="19436BEB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8FD34A" w14:textId="19CC9912" w:rsidR="00931244" w:rsidRPr="00F144A0" w:rsidRDefault="00B1724D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F144A0">
        <w:rPr>
          <w:rFonts w:ascii="Times New Roman" w:hAnsi="Times New Roman" w:cs="Times New Roman"/>
          <w:lang w:bidi="it-IT"/>
        </w:rPr>
        <w:t xml:space="preserve">G.L. Pharma GmbH, </w:t>
      </w:r>
      <w:proofErr w:type="spellStart"/>
      <w:r w:rsidRPr="00F144A0">
        <w:rPr>
          <w:rFonts w:ascii="Times New Roman" w:hAnsi="Times New Roman" w:cs="Times New Roman"/>
          <w:lang w:bidi="it-IT"/>
        </w:rPr>
        <w:t>Schlossplatz</w:t>
      </w:r>
      <w:proofErr w:type="spellEnd"/>
      <w:r w:rsidRPr="00F144A0">
        <w:rPr>
          <w:rFonts w:ascii="Times New Roman" w:hAnsi="Times New Roman" w:cs="Times New Roman"/>
          <w:lang w:bidi="it-IT"/>
        </w:rPr>
        <w:t xml:space="preserve"> 1, 8502 </w:t>
      </w:r>
      <w:proofErr w:type="spellStart"/>
      <w:r w:rsidRPr="00F144A0">
        <w:rPr>
          <w:rFonts w:ascii="Times New Roman" w:hAnsi="Times New Roman" w:cs="Times New Roman"/>
          <w:lang w:bidi="it-IT"/>
        </w:rPr>
        <w:t>Lannach</w:t>
      </w:r>
      <w:proofErr w:type="spellEnd"/>
      <w:r w:rsidRPr="00F144A0">
        <w:rPr>
          <w:rFonts w:ascii="Times New Roman" w:hAnsi="Times New Roman" w:cs="Times New Roman"/>
          <w:lang w:bidi="it-IT"/>
        </w:rPr>
        <w:t>, Austria.</w:t>
      </w:r>
    </w:p>
    <w:p w14:paraId="271989EA" w14:textId="77777777" w:rsidR="00B1724D" w:rsidRPr="00F144A0" w:rsidRDefault="00B1724D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</w:p>
    <w:p w14:paraId="0AA98B36" w14:textId="77777777" w:rsidR="00931244" w:rsidRPr="00F144A0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334FE9" w14:textId="6A6D1FDE" w:rsidR="00062749" w:rsidRPr="00931244" w:rsidRDefault="00062749" w:rsidP="004D2D6A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lang w:bidi="it-IT"/>
        </w:rPr>
      </w:pPr>
      <w:r w:rsidRPr="004D2D6A">
        <w:rPr>
          <w:rFonts w:ascii="Times New Roman" w:eastAsia="Times New Roman" w:hAnsi="Times New Roman" w:cs="Times New Roman"/>
          <w:b/>
          <w:szCs w:val="20"/>
        </w:rPr>
        <w:t>8.</w:t>
      </w:r>
      <w:r w:rsidR="00931244" w:rsidRPr="004D2D6A">
        <w:rPr>
          <w:rFonts w:ascii="Times New Roman" w:eastAsia="Times New Roman" w:hAnsi="Times New Roman" w:cs="Times New Roman"/>
          <w:b/>
          <w:szCs w:val="20"/>
        </w:rPr>
        <w:tab/>
      </w:r>
      <w:r w:rsidRPr="004D2D6A">
        <w:rPr>
          <w:rFonts w:ascii="Times New Roman" w:eastAsia="Times New Roman" w:hAnsi="Times New Roman" w:cs="Times New Roman"/>
          <w:b/>
          <w:szCs w:val="20"/>
        </w:rPr>
        <w:t>NUMER</w:t>
      </w:r>
      <w:r w:rsidR="00345BA0" w:rsidRPr="004D2D6A">
        <w:rPr>
          <w:rFonts w:ascii="Times New Roman" w:eastAsia="Times New Roman" w:hAnsi="Times New Roman" w:cs="Times New Roman"/>
          <w:b/>
          <w:szCs w:val="20"/>
        </w:rPr>
        <w:t>I</w:t>
      </w:r>
      <w:r w:rsidRPr="004D2D6A">
        <w:rPr>
          <w:rFonts w:ascii="Times New Roman" w:eastAsia="Times New Roman" w:hAnsi="Times New Roman" w:cs="Times New Roman"/>
          <w:b/>
          <w:szCs w:val="20"/>
        </w:rPr>
        <w:t xml:space="preserve"> DELL’AUTORIZZAZIONE ALL’IMMISSIONE IN COMMERCIO </w:t>
      </w:r>
    </w:p>
    <w:p w14:paraId="254E5B7A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D2FCD3D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049512015 - "25 MG COMPRESSE A RILASCIO PROLUNGATO" 7 COMPRESSE IN BLISTER PVC/PVDC/PVC-AL </w:t>
      </w:r>
    </w:p>
    <w:p w14:paraId="5DE180D0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049512066 - "25 MG COMPRESSE A RILASCIO PROLUNGATO" 28 COMPRESSE IN BLISTER PVC/PVDC/PVC-AL </w:t>
      </w:r>
    </w:p>
    <w:p w14:paraId="0AD0042B" w14:textId="77777777" w:rsidR="00DB4384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049512078 - "25 MG COMPRESSE A RILASCIO PROLUNGATO" 30 COMPRESSE IN BLISTER PVC/PVDC/PVC-AL</w:t>
      </w:r>
    </w:p>
    <w:p w14:paraId="2F179BE2" w14:textId="5FB78CB5" w:rsidR="00045A7C" w:rsidRPr="0040099F" w:rsidRDefault="00DB438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</w:t>
      </w:r>
      <w:r w:rsidR="00C804F8" w:rsidRPr="00C804F8">
        <w:rPr>
          <w:rFonts w:ascii="Times New Roman" w:hAnsi="Times New Roman" w:cs="Times New Roman"/>
          <w:lang w:bidi="it-IT"/>
        </w:rPr>
        <w:t>049517701</w:t>
      </w:r>
      <w:r w:rsidRPr="0040099F">
        <w:rPr>
          <w:rFonts w:ascii="Times New Roman" w:hAnsi="Times New Roman" w:cs="Times New Roman"/>
          <w:lang w:bidi="it-IT"/>
        </w:rPr>
        <w:t xml:space="preserve"> - "25 MG COMPRESSE A RILASCIO PROLUNGATO" </w:t>
      </w:r>
      <w:r w:rsidR="00C804F8">
        <w:rPr>
          <w:rFonts w:ascii="Times New Roman" w:hAnsi="Times New Roman" w:cs="Times New Roman"/>
          <w:lang w:bidi="it-IT"/>
        </w:rPr>
        <w:t>4</w:t>
      </w:r>
      <w:r w:rsidRPr="0040099F">
        <w:rPr>
          <w:rFonts w:ascii="Times New Roman" w:hAnsi="Times New Roman" w:cs="Times New Roman"/>
          <w:lang w:bidi="it-IT"/>
        </w:rPr>
        <w:t>0 COMPRESSE IN BLISTER PVC/PVDC/PVC-AL</w:t>
      </w:r>
      <w:r w:rsidR="00045A7C" w:rsidRPr="0040099F">
        <w:rPr>
          <w:rFonts w:ascii="Times New Roman" w:hAnsi="Times New Roman" w:cs="Times New Roman"/>
          <w:lang w:bidi="it-IT"/>
        </w:rPr>
        <w:t xml:space="preserve"> </w:t>
      </w:r>
    </w:p>
    <w:p w14:paraId="37C3EB4B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049512128 - "25 MG COMPRESSE A RILASCIO PROLUNGATO" 60 COMPRESSE IN BLISTER PVC/PVDC/PVC-AL </w:t>
      </w:r>
    </w:p>
    <w:p w14:paraId="72266CF1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049512142 - "25 MG COMPRESSE A RILASCIO PROLUNGATO" 100 COMPRESSE IN BLISTER PVC/PVDC/PVC-AL</w:t>
      </w:r>
    </w:p>
    <w:p w14:paraId="472E4B71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049512155 - "50 MG COMPRESSE A RILASCIO PROLUNGATO" 7 COMPRESSE IN BLISTER PVC/PVDC/PVC-AL </w:t>
      </w:r>
    </w:p>
    <w:p w14:paraId="56110B7C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049512205 - "50 MG COMPRESSE A RILASCIO PROLUNGATO" 28 COMPRESSE IN BLISTER PVC/PVDC/PVC-AL</w:t>
      </w:r>
    </w:p>
    <w:p w14:paraId="115A199F" w14:textId="77777777" w:rsidR="00D540A8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049512217 - "50 MG COMPRESSE A RILASCIO PROLUNGATO" 30 COMPRESSE IN BLISTER PVC/PVDC/PVC-AL</w:t>
      </w:r>
    </w:p>
    <w:p w14:paraId="66F2814A" w14:textId="168CF9C6" w:rsidR="00045A7C" w:rsidRPr="0040099F" w:rsidRDefault="00D540A8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D540A8">
        <w:rPr>
          <w:rFonts w:ascii="Times New Roman" w:hAnsi="Times New Roman" w:cs="Times New Roman"/>
          <w:lang w:bidi="it-IT"/>
        </w:rPr>
        <w:t>AIC 049517713 - "50 MG COMPRESSE A RILASCIO PROLUNGATO" 40 COMPRESSE IN BLISTER PVC/PVDC/PVC-AL</w:t>
      </w:r>
      <w:r w:rsidR="00045A7C" w:rsidRPr="0040099F">
        <w:rPr>
          <w:rFonts w:ascii="Times New Roman" w:hAnsi="Times New Roman" w:cs="Times New Roman"/>
          <w:lang w:bidi="it-IT"/>
        </w:rPr>
        <w:t xml:space="preserve"> </w:t>
      </w:r>
    </w:p>
    <w:p w14:paraId="0056EDA5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049512268 - "50 MG COMPRESSE A RILASCIO PROLUNGATO" 60 COMPRESSE IN BLISTER PVC/PVDC/PVC-AL </w:t>
      </w:r>
    </w:p>
    <w:p w14:paraId="21E78CCA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049512282 - "50 MG COMPRESSE A RILASCIO PROLUNGATO" 100 COMPRESSE IN BLISTER PVC/PVDC/PVC-AL</w:t>
      </w:r>
    </w:p>
    <w:p w14:paraId="4B10DD8D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049512294 - "100 MG COMPRESSE A RILASCIO PROLUNGATO" 7 COMPRESSE IN BLISTER PVC/PVDC/PVC-AL </w:t>
      </w:r>
    </w:p>
    <w:p w14:paraId="61104CFA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049512344 - "100 MG COMPRESSE A RILASCIO PROLUNGATO" 28 COMPRESSE IN BLISTER PVC/PVDC/PVC-AL </w:t>
      </w:r>
    </w:p>
    <w:p w14:paraId="6DFC1BCC" w14:textId="77777777" w:rsidR="00070B3B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049512357 - "100 MG COMPRESSE A RILASCIO PROLUNGATO" 30 COMPRESSE IN BLISTER PVC/PVDC/PVC-AL</w:t>
      </w:r>
    </w:p>
    <w:p w14:paraId="4965FC18" w14:textId="52151BAF" w:rsidR="00045A7C" w:rsidRPr="0040099F" w:rsidRDefault="00070B3B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070B3B">
        <w:rPr>
          <w:rFonts w:ascii="Times New Roman" w:hAnsi="Times New Roman" w:cs="Times New Roman"/>
          <w:lang w:bidi="it-IT"/>
        </w:rPr>
        <w:t>AIC 049517725 - "100 MG COMPRESSE A RILASCIO PROLUNGATO" 40 COMPRESSE IN BLISTER PVC/PVDC/PVC-AL</w:t>
      </w:r>
      <w:r w:rsidR="00045A7C" w:rsidRPr="0040099F">
        <w:rPr>
          <w:rFonts w:ascii="Times New Roman" w:hAnsi="Times New Roman" w:cs="Times New Roman"/>
          <w:lang w:bidi="it-IT"/>
        </w:rPr>
        <w:t xml:space="preserve"> </w:t>
      </w:r>
    </w:p>
    <w:p w14:paraId="6885066C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049512407 - "100 MG COMPRESSE A RILASCIO PROLUNGATO" 60 COMPRESSE IN BLISTER PVC/PVDC/PVC-AL </w:t>
      </w:r>
    </w:p>
    <w:p w14:paraId="5254580B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049512421 - "100 MG COMPRESSE A RILASCIO PROLUNGATO" 100 COMPRESSE IN BLISTER PVC/PVDC/PVC-AL</w:t>
      </w:r>
    </w:p>
    <w:p w14:paraId="08C26CAD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049512433 - "150 MG COMPRESSE A RILASCIO PROLUNGATO" 7 COMPRESSE IN BLISTER PVC/PVDC/PVC-AL </w:t>
      </w:r>
    </w:p>
    <w:p w14:paraId="25CFD1AF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049512484 - "150 MG COMPRESSE A RILASCIO PROLUNGATO" 28 COMPRESSE IN BLISTER PVC/PVDC/PVC-AL</w:t>
      </w:r>
    </w:p>
    <w:p w14:paraId="7190F668" w14:textId="77777777" w:rsidR="000F016D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049512496 - "150 MG COMPRESSE A RILASCIO PROLUNGATO" 30 COMPRESSE IN BLISTER PVC/PVDC/PVC-AL</w:t>
      </w:r>
    </w:p>
    <w:p w14:paraId="51901491" w14:textId="3FCCED99" w:rsidR="00045A7C" w:rsidRPr="0040099F" w:rsidRDefault="00D66EFD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D66EFD">
        <w:rPr>
          <w:rFonts w:ascii="Times New Roman" w:hAnsi="Times New Roman" w:cs="Times New Roman"/>
          <w:lang w:bidi="it-IT"/>
        </w:rPr>
        <w:t>AIC 049517737 - "150 MG COMPRESSE A RILASCIO PROLUNGATO" 40 COMPRESSE IN BLISTER PVC/PVDC/PVC-AL</w:t>
      </w:r>
      <w:r w:rsidR="00045A7C" w:rsidRPr="0040099F">
        <w:rPr>
          <w:rFonts w:ascii="Times New Roman" w:hAnsi="Times New Roman" w:cs="Times New Roman"/>
          <w:lang w:bidi="it-IT"/>
        </w:rPr>
        <w:t>AIC 049512546 - "150 MG COMPRESSE A RILASCIO PROLUNGATO" 60 COMPRESSE IN BLISTER PVC/PVDC/PVC-AL</w:t>
      </w:r>
    </w:p>
    <w:p w14:paraId="1F71E46E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049512561 - "150 MG COMPRESSE A RILASCIO PROLUNGATO" 100 COMPRESSE IN BLISTER PVC/PVDC/PVC-AL </w:t>
      </w:r>
    </w:p>
    <w:p w14:paraId="6F551D0F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049512573 - "200 MG COMPRESSE A RILASCIO PROLUNGATO" 7 COMPRESSE IN BLISTER PVC/PVDC/PVC-AL </w:t>
      </w:r>
    </w:p>
    <w:p w14:paraId="2F48C522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lastRenderedPageBreak/>
        <w:t xml:space="preserve">AIC 049512623 - "200 MG COMPRESSE A RILASCIO PROLUNGATO" 28 COMPRESSE IN BLISTER PVC/PVDC/PVC-AL </w:t>
      </w:r>
    </w:p>
    <w:p w14:paraId="6963C1D9" w14:textId="77777777" w:rsidR="00D66EFD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049512635 - "200 MG COMPRESSE A RILASCIO PROLUNGATO" 30 COMPRESSE IN BLISTER PVC/PVDC/PVC-AL</w:t>
      </w:r>
    </w:p>
    <w:p w14:paraId="15BF666C" w14:textId="296311C3" w:rsidR="00045A7C" w:rsidRPr="0040099F" w:rsidRDefault="007F0D5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7F0D5C">
        <w:rPr>
          <w:rFonts w:ascii="Times New Roman" w:hAnsi="Times New Roman" w:cs="Times New Roman"/>
          <w:lang w:bidi="it-IT"/>
        </w:rPr>
        <w:t>AIC 049517749 - "200 MG COMPRESSE A RILASCIO PROLUNGATO" 40 COMPRESSE IN BLISTER PVC/PVDC/PVC-AL</w:t>
      </w:r>
      <w:r w:rsidR="00045A7C" w:rsidRPr="0040099F">
        <w:rPr>
          <w:rFonts w:ascii="Times New Roman" w:hAnsi="Times New Roman" w:cs="Times New Roman"/>
          <w:lang w:bidi="it-IT"/>
        </w:rPr>
        <w:t xml:space="preserve"> </w:t>
      </w:r>
    </w:p>
    <w:p w14:paraId="6AC8F222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049512686 - "200 MG COMPRESSE A RILASCIO PROLUNGATO" 60 COMPRESSE IN BLISTER PVC/PVDC/PVC-AL </w:t>
      </w:r>
    </w:p>
    <w:p w14:paraId="39FDE555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049512700 - "200 MG COMPRESSE A RILASCIO PROLUNGATO" 100 COMPRESSE IN BLISTER PVC/PVDC/PVC-AL </w:t>
      </w:r>
    </w:p>
    <w:p w14:paraId="5C53C5C5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049512712 - "250 MG COMPRESSE A RILASCIO PROLUNGATO" 7 COMPRESSE IN BLISTER PVC/PVDC/PVC-AL </w:t>
      </w:r>
    </w:p>
    <w:p w14:paraId="14D6F2E2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049512763 - "250 MG COMPRESSE A RILASCIO PROLUNGATO" 28 COMPRESSE IN BLISTER PVC/PVDC/PVC-AL </w:t>
      </w:r>
    </w:p>
    <w:p w14:paraId="22DBAE0B" w14:textId="77777777" w:rsidR="007F0D5C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049512775 - "250 MG COMPRESSE A RILASCIO PROLUNGATO" 30 COMPRESSE IN BLISTER PVC/PVDC/PVC-AL</w:t>
      </w:r>
    </w:p>
    <w:p w14:paraId="15307330" w14:textId="3F86A953" w:rsidR="00045A7C" w:rsidRPr="0040099F" w:rsidRDefault="0051053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510534">
        <w:rPr>
          <w:rFonts w:ascii="Times New Roman" w:hAnsi="Times New Roman" w:cs="Times New Roman"/>
          <w:lang w:bidi="it-IT"/>
        </w:rPr>
        <w:t>AIC 049517752 - "250 MG COMPRESSE A RILASCIO PROLUNGATO" 40 COMPRESSE IN BLISTER PVC/PVDC/PVC-AL</w:t>
      </w:r>
      <w:r w:rsidR="00045A7C" w:rsidRPr="0040099F">
        <w:rPr>
          <w:rFonts w:ascii="Times New Roman" w:hAnsi="Times New Roman" w:cs="Times New Roman"/>
          <w:lang w:bidi="it-IT"/>
        </w:rPr>
        <w:t xml:space="preserve"> </w:t>
      </w:r>
    </w:p>
    <w:p w14:paraId="7EBFBCEB" w14:textId="77777777" w:rsidR="00045A7C" w:rsidRPr="0040099F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 xml:space="preserve">AIC 049512825 - "250 MG COMPRESSE A RILASCIO PROLUNGATO" 60 COMPRESSE IN BLISTER PVC/PVDC/PVC-AL </w:t>
      </w:r>
    </w:p>
    <w:p w14:paraId="012D134D" w14:textId="6C209F92" w:rsidR="00B83D60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40099F">
        <w:rPr>
          <w:rFonts w:ascii="Times New Roman" w:hAnsi="Times New Roman" w:cs="Times New Roman"/>
          <w:lang w:bidi="it-IT"/>
        </w:rPr>
        <w:t>AIC 049512849 - "250 MG COMPRESSE A RILASCIO PROLUNGATO"100 COMPRESSE IN BLISTER PVC/PVDC/PVC-AL</w:t>
      </w:r>
    </w:p>
    <w:p w14:paraId="3A96A418" w14:textId="77777777" w:rsidR="00045A7C" w:rsidRDefault="00045A7C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BAB5FEC" w14:textId="77777777" w:rsidR="006B1E85" w:rsidRPr="00721B44" w:rsidRDefault="006B1E85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900A8DA" w14:textId="776C7C62" w:rsidR="00062749" w:rsidRDefault="00062749" w:rsidP="004D2D6A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lang w:bidi="it-IT"/>
        </w:rPr>
      </w:pPr>
      <w:r w:rsidRPr="004D2D6A">
        <w:rPr>
          <w:rFonts w:ascii="Times New Roman" w:eastAsia="Times New Roman" w:hAnsi="Times New Roman" w:cs="Times New Roman"/>
          <w:b/>
          <w:szCs w:val="20"/>
        </w:rPr>
        <w:t>9.</w:t>
      </w:r>
      <w:r w:rsidR="00931244" w:rsidRPr="004D2D6A">
        <w:rPr>
          <w:rFonts w:ascii="Times New Roman" w:eastAsia="Times New Roman" w:hAnsi="Times New Roman" w:cs="Times New Roman"/>
          <w:b/>
          <w:szCs w:val="20"/>
        </w:rPr>
        <w:tab/>
      </w:r>
      <w:r w:rsidRPr="004D2D6A">
        <w:rPr>
          <w:rFonts w:ascii="Times New Roman" w:eastAsia="Times New Roman" w:hAnsi="Times New Roman" w:cs="Times New Roman"/>
          <w:b/>
          <w:szCs w:val="20"/>
        </w:rPr>
        <w:t xml:space="preserve">DATA DELLA PRIMA AUTORIZZAZIONE/RINNOVO DELL'AUTORIZZAZIONE </w:t>
      </w:r>
    </w:p>
    <w:p w14:paraId="69881D1C" w14:textId="77777777" w:rsidR="00931244" w:rsidRPr="00721B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78E1803" w14:textId="16C256A8" w:rsidR="0033499A" w:rsidRDefault="0033499A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 w:rsidRPr="0033499A">
        <w:rPr>
          <w:rFonts w:ascii="Times New Roman" w:hAnsi="Times New Roman" w:cs="Times New Roman"/>
          <w:lang w:bidi="it-IT"/>
        </w:rPr>
        <w:t>Data della prima autorizzazione:</w:t>
      </w:r>
      <w:r w:rsidR="00B1724D">
        <w:rPr>
          <w:rFonts w:ascii="Times New Roman" w:hAnsi="Times New Roman" w:cs="Times New Roman"/>
          <w:lang w:bidi="it-IT"/>
        </w:rPr>
        <w:t xml:space="preserve"> 19 Novembre 2022</w:t>
      </w:r>
    </w:p>
    <w:p w14:paraId="25D1A1E7" w14:textId="77777777" w:rsidR="00931244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</w:p>
    <w:p w14:paraId="763CCF84" w14:textId="77777777" w:rsidR="00931244" w:rsidRPr="0033499A" w:rsidRDefault="00931244" w:rsidP="00C73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</w:p>
    <w:p w14:paraId="3C892180" w14:textId="17ECBBA8" w:rsidR="00062749" w:rsidRPr="004D2D6A" w:rsidRDefault="00062749" w:rsidP="004D2D6A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Cs w:val="20"/>
        </w:rPr>
      </w:pPr>
      <w:r w:rsidRPr="004D2D6A">
        <w:rPr>
          <w:rFonts w:ascii="Times New Roman" w:eastAsia="Times New Roman" w:hAnsi="Times New Roman" w:cs="Times New Roman"/>
          <w:b/>
          <w:szCs w:val="20"/>
        </w:rPr>
        <w:t>10.</w:t>
      </w:r>
      <w:r w:rsidR="00931244" w:rsidRPr="004D2D6A">
        <w:rPr>
          <w:rFonts w:ascii="Times New Roman" w:eastAsia="Times New Roman" w:hAnsi="Times New Roman" w:cs="Times New Roman"/>
          <w:b/>
          <w:szCs w:val="20"/>
        </w:rPr>
        <w:tab/>
      </w:r>
      <w:r w:rsidRPr="004D2D6A">
        <w:rPr>
          <w:rFonts w:ascii="Times New Roman" w:eastAsia="Times New Roman" w:hAnsi="Times New Roman" w:cs="Times New Roman"/>
          <w:b/>
          <w:szCs w:val="20"/>
        </w:rPr>
        <w:t xml:space="preserve">DATA DI REVISIONE DEL </w:t>
      </w:r>
      <w:r w:rsidR="00345BA0" w:rsidRPr="004D2D6A">
        <w:rPr>
          <w:rFonts w:ascii="Times New Roman" w:eastAsia="Times New Roman" w:hAnsi="Times New Roman" w:cs="Times New Roman"/>
          <w:b/>
          <w:szCs w:val="20"/>
        </w:rPr>
        <w:t>TESTO</w:t>
      </w:r>
      <w:r w:rsidRPr="004D2D6A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4263E8C0" w14:textId="13060ACA" w:rsidR="00062749" w:rsidRPr="00C305C6" w:rsidRDefault="00062749" w:rsidP="00C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</w:p>
    <w:p w14:paraId="15F1E86D" w14:textId="33C3D781" w:rsidR="00931244" w:rsidRPr="00F144A0" w:rsidRDefault="00510534" w:rsidP="00C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it-IT"/>
        </w:rPr>
      </w:pPr>
      <w:r>
        <w:rPr>
          <w:rFonts w:ascii="Times New Roman" w:hAnsi="Times New Roman" w:cs="Times New Roman"/>
          <w:lang w:bidi="it-IT"/>
        </w:rPr>
        <w:t>08/2024</w:t>
      </w:r>
    </w:p>
    <w:sectPr w:rsidR="00931244" w:rsidRPr="00F144A0" w:rsidSect="00931244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48A8" w14:textId="77777777" w:rsidR="00361013" w:rsidRDefault="00361013" w:rsidP="005B304B">
      <w:pPr>
        <w:spacing w:after="0" w:line="240" w:lineRule="auto"/>
      </w:pPr>
      <w:r>
        <w:separator/>
      </w:r>
    </w:p>
  </w:endnote>
  <w:endnote w:type="continuationSeparator" w:id="0">
    <w:p w14:paraId="19FBF7EA" w14:textId="77777777" w:rsidR="00361013" w:rsidRDefault="00361013" w:rsidP="005B304B">
      <w:pPr>
        <w:spacing w:after="0" w:line="240" w:lineRule="auto"/>
      </w:pPr>
      <w:r>
        <w:continuationSeparator/>
      </w:r>
    </w:p>
  </w:endnote>
  <w:endnote w:type="continuationNotice" w:id="1">
    <w:p w14:paraId="4C1437EE" w14:textId="77777777" w:rsidR="00361013" w:rsidRDefault="00361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2126" w14:textId="3FE6836F" w:rsidR="00065289" w:rsidRPr="0094657A" w:rsidRDefault="00065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E54EB" w14:textId="77777777" w:rsidR="00361013" w:rsidRDefault="00361013" w:rsidP="005B304B">
      <w:pPr>
        <w:spacing w:after="0" w:line="240" w:lineRule="auto"/>
      </w:pPr>
      <w:r>
        <w:separator/>
      </w:r>
    </w:p>
  </w:footnote>
  <w:footnote w:type="continuationSeparator" w:id="0">
    <w:p w14:paraId="2EFCE70F" w14:textId="77777777" w:rsidR="00361013" w:rsidRDefault="00361013" w:rsidP="005B304B">
      <w:pPr>
        <w:spacing w:after="0" w:line="240" w:lineRule="auto"/>
      </w:pPr>
      <w:r>
        <w:continuationSeparator/>
      </w:r>
    </w:p>
  </w:footnote>
  <w:footnote w:type="continuationNotice" w:id="1">
    <w:p w14:paraId="1D642ABA" w14:textId="77777777" w:rsidR="00361013" w:rsidRDefault="003610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9825" w14:textId="77777777" w:rsidR="00065289" w:rsidRDefault="00065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A76"/>
    <w:multiLevelType w:val="hybridMultilevel"/>
    <w:tmpl w:val="26AA952E"/>
    <w:lvl w:ilvl="0" w:tplc="98BAADE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265D1"/>
    <w:multiLevelType w:val="hybridMultilevel"/>
    <w:tmpl w:val="B112A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4A23"/>
    <w:multiLevelType w:val="hybridMultilevel"/>
    <w:tmpl w:val="BFB4D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9645"/>
    <w:multiLevelType w:val="hybridMultilevel"/>
    <w:tmpl w:val="37118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C72FDD7"/>
    <w:multiLevelType w:val="hybridMultilevel"/>
    <w:tmpl w:val="CA6BB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2FD46B9"/>
    <w:multiLevelType w:val="hybridMultilevel"/>
    <w:tmpl w:val="0D4C69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63C6634"/>
    <w:multiLevelType w:val="hybridMultilevel"/>
    <w:tmpl w:val="077C0B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9957E3"/>
    <w:multiLevelType w:val="hybridMultilevel"/>
    <w:tmpl w:val="24181D74"/>
    <w:lvl w:ilvl="0" w:tplc="18166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549687">
    <w:abstractNumId w:val="4"/>
  </w:num>
  <w:num w:numId="2" w16cid:durableId="531579561">
    <w:abstractNumId w:val="3"/>
  </w:num>
  <w:num w:numId="3" w16cid:durableId="1429081989">
    <w:abstractNumId w:val="5"/>
  </w:num>
  <w:num w:numId="4" w16cid:durableId="2057660912">
    <w:abstractNumId w:val="6"/>
  </w:num>
  <w:num w:numId="5" w16cid:durableId="103773394">
    <w:abstractNumId w:val="1"/>
  </w:num>
  <w:num w:numId="6" w16cid:durableId="1358963463">
    <w:abstractNumId w:val="7"/>
  </w:num>
  <w:num w:numId="7" w16cid:durableId="2080980069">
    <w:abstractNumId w:val="2"/>
  </w:num>
  <w:num w:numId="8" w16cid:durableId="56468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3EB"/>
    <w:rsid w:val="00003E37"/>
    <w:rsid w:val="00006225"/>
    <w:rsid w:val="00013E39"/>
    <w:rsid w:val="0002433A"/>
    <w:rsid w:val="00027417"/>
    <w:rsid w:val="00045A7C"/>
    <w:rsid w:val="000542C0"/>
    <w:rsid w:val="0005534E"/>
    <w:rsid w:val="00057B8B"/>
    <w:rsid w:val="00062408"/>
    <w:rsid w:val="00062749"/>
    <w:rsid w:val="00065289"/>
    <w:rsid w:val="00070140"/>
    <w:rsid w:val="00070B3B"/>
    <w:rsid w:val="00077471"/>
    <w:rsid w:val="0008065B"/>
    <w:rsid w:val="00082E78"/>
    <w:rsid w:val="0008675D"/>
    <w:rsid w:val="00093ACF"/>
    <w:rsid w:val="00095209"/>
    <w:rsid w:val="000A3F1B"/>
    <w:rsid w:val="000A64A8"/>
    <w:rsid w:val="000A7BE3"/>
    <w:rsid w:val="000B5EFB"/>
    <w:rsid w:val="000B614E"/>
    <w:rsid w:val="000C1F49"/>
    <w:rsid w:val="000C4759"/>
    <w:rsid w:val="000C75BB"/>
    <w:rsid w:val="000D0BFF"/>
    <w:rsid w:val="000D4E1A"/>
    <w:rsid w:val="000D633C"/>
    <w:rsid w:val="000E40F1"/>
    <w:rsid w:val="000F016D"/>
    <w:rsid w:val="000F094B"/>
    <w:rsid w:val="000F650A"/>
    <w:rsid w:val="000F6BF3"/>
    <w:rsid w:val="000F748D"/>
    <w:rsid w:val="00100F63"/>
    <w:rsid w:val="00113C3B"/>
    <w:rsid w:val="00117BC6"/>
    <w:rsid w:val="00121402"/>
    <w:rsid w:val="00125859"/>
    <w:rsid w:val="00130450"/>
    <w:rsid w:val="00132B47"/>
    <w:rsid w:val="00145EC7"/>
    <w:rsid w:val="00145F67"/>
    <w:rsid w:val="00153631"/>
    <w:rsid w:val="001602F8"/>
    <w:rsid w:val="00162AE0"/>
    <w:rsid w:val="00163E3C"/>
    <w:rsid w:val="001663AD"/>
    <w:rsid w:val="00170EB7"/>
    <w:rsid w:val="00187A96"/>
    <w:rsid w:val="00194563"/>
    <w:rsid w:val="00194D37"/>
    <w:rsid w:val="001C1AE4"/>
    <w:rsid w:val="001C3A3B"/>
    <w:rsid w:val="001C73E9"/>
    <w:rsid w:val="001D33B3"/>
    <w:rsid w:val="001D52EC"/>
    <w:rsid w:val="001D69A8"/>
    <w:rsid w:val="001D6FD4"/>
    <w:rsid w:val="001E1719"/>
    <w:rsid w:val="001E4C20"/>
    <w:rsid w:val="001E6B7D"/>
    <w:rsid w:val="001F0573"/>
    <w:rsid w:val="001F51A3"/>
    <w:rsid w:val="00202DFE"/>
    <w:rsid w:val="00203949"/>
    <w:rsid w:val="0020415E"/>
    <w:rsid w:val="002053C5"/>
    <w:rsid w:val="00214838"/>
    <w:rsid w:val="00217EE7"/>
    <w:rsid w:val="00223FC0"/>
    <w:rsid w:val="00226C2B"/>
    <w:rsid w:val="002307F0"/>
    <w:rsid w:val="0023695D"/>
    <w:rsid w:val="00247933"/>
    <w:rsid w:val="00261655"/>
    <w:rsid w:val="00270243"/>
    <w:rsid w:val="00271F06"/>
    <w:rsid w:val="0028047F"/>
    <w:rsid w:val="002972AB"/>
    <w:rsid w:val="002A312D"/>
    <w:rsid w:val="002A53DF"/>
    <w:rsid w:val="002A6363"/>
    <w:rsid w:val="002A7684"/>
    <w:rsid w:val="002B172F"/>
    <w:rsid w:val="002B270A"/>
    <w:rsid w:val="002B3A07"/>
    <w:rsid w:val="002D0482"/>
    <w:rsid w:val="002D2C00"/>
    <w:rsid w:val="002D50A6"/>
    <w:rsid w:val="002D50D6"/>
    <w:rsid w:val="002F324C"/>
    <w:rsid w:val="00301F05"/>
    <w:rsid w:val="003029E9"/>
    <w:rsid w:val="00304E8A"/>
    <w:rsid w:val="0030512B"/>
    <w:rsid w:val="0030608F"/>
    <w:rsid w:val="00311234"/>
    <w:rsid w:val="00324A4B"/>
    <w:rsid w:val="00326367"/>
    <w:rsid w:val="00327B7E"/>
    <w:rsid w:val="00330381"/>
    <w:rsid w:val="003336EE"/>
    <w:rsid w:val="0033499A"/>
    <w:rsid w:val="00345BA0"/>
    <w:rsid w:val="0035791E"/>
    <w:rsid w:val="003605DC"/>
    <w:rsid w:val="00361013"/>
    <w:rsid w:val="00362707"/>
    <w:rsid w:val="003652BF"/>
    <w:rsid w:val="003661A1"/>
    <w:rsid w:val="003761E0"/>
    <w:rsid w:val="0038105A"/>
    <w:rsid w:val="00381B37"/>
    <w:rsid w:val="00391AF4"/>
    <w:rsid w:val="003A0591"/>
    <w:rsid w:val="003A554E"/>
    <w:rsid w:val="003B0CC6"/>
    <w:rsid w:val="003C01C8"/>
    <w:rsid w:val="003C22DD"/>
    <w:rsid w:val="003D0ECD"/>
    <w:rsid w:val="003D2506"/>
    <w:rsid w:val="003D70A0"/>
    <w:rsid w:val="003E0C6D"/>
    <w:rsid w:val="003E1471"/>
    <w:rsid w:val="003F575E"/>
    <w:rsid w:val="00405946"/>
    <w:rsid w:val="00413C83"/>
    <w:rsid w:val="00420DEC"/>
    <w:rsid w:val="00432379"/>
    <w:rsid w:val="00440304"/>
    <w:rsid w:val="00440DCF"/>
    <w:rsid w:val="00450C13"/>
    <w:rsid w:val="0045661B"/>
    <w:rsid w:val="00457456"/>
    <w:rsid w:val="004656F0"/>
    <w:rsid w:val="00467E01"/>
    <w:rsid w:val="00471E7E"/>
    <w:rsid w:val="004819E9"/>
    <w:rsid w:val="0048695F"/>
    <w:rsid w:val="0049129E"/>
    <w:rsid w:val="00494799"/>
    <w:rsid w:val="004A1E0E"/>
    <w:rsid w:val="004A2DDE"/>
    <w:rsid w:val="004A4326"/>
    <w:rsid w:val="004A4630"/>
    <w:rsid w:val="004A52F9"/>
    <w:rsid w:val="004B40DA"/>
    <w:rsid w:val="004B5B3C"/>
    <w:rsid w:val="004C3DAE"/>
    <w:rsid w:val="004D2D6A"/>
    <w:rsid w:val="004E31FF"/>
    <w:rsid w:val="004F26DB"/>
    <w:rsid w:val="004F6229"/>
    <w:rsid w:val="00506902"/>
    <w:rsid w:val="005103BA"/>
    <w:rsid w:val="00510534"/>
    <w:rsid w:val="005107A0"/>
    <w:rsid w:val="00516634"/>
    <w:rsid w:val="005208F2"/>
    <w:rsid w:val="005256E8"/>
    <w:rsid w:val="0052740C"/>
    <w:rsid w:val="005336AE"/>
    <w:rsid w:val="00535B20"/>
    <w:rsid w:val="00547D96"/>
    <w:rsid w:val="005522A9"/>
    <w:rsid w:val="00565D99"/>
    <w:rsid w:val="005666E3"/>
    <w:rsid w:val="0057197E"/>
    <w:rsid w:val="00574F12"/>
    <w:rsid w:val="005773B6"/>
    <w:rsid w:val="005818E6"/>
    <w:rsid w:val="00583025"/>
    <w:rsid w:val="00584774"/>
    <w:rsid w:val="0058604A"/>
    <w:rsid w:val="00587A27"/>
    <w:rsid w:val="00591226"/>
    <w:rsid w:val="00593317"/>
    <w:rsid w:val="005939FE"/>
    <w:rsid w:val="00593BA3"/>
    <w:rsid w:val="0059415A"/>
    <w:rsid w:val="005A042B"/>
    <w:rsid w:val="005A16BD"/>
    <w:rsid w:val="005A2041"/>
    <w:rsid w:val="005A22A4"/>
    <w:rsid w:val="005A3DE4"/>
    <w:rsid w:val="005A716A"/>
    <w:rsid w:val="005B304B"/>
    <w:rsid w:val="005B5E5A"/>
    <w:rsid w:val="005C4103"/>
    <w:rsid w:val="005D7EDA"/>
    <w:rsid w:val="005E626B"/>
    <w:rsid w:val="00602F08"/>
    <w:rsid w:val="00606493"/>
    <w:rsid w:val="006107D3"/>
    <w:rsid w:val="0061385A"/>
    <w:rsid w:val="00614B41"/>
    <w:rsid w:val="00615653"/>
    <w:rsid w:val="00617A00"/>
    <w:rsid w:val="00617C32"/>
    <w:rsid w:val="00620CA6"/>
    <w:rsid w:val="00634C84"/>
    <w:rsid w:val="00635116"/>
    <w:rsid w:val="00641A03"/>
    <w:rsid w:val="006433A7"/>
    <w:rsid w:val="00650377"/>
    <w:rsid w:val="006507B3"/>
    <w:rsid w:val="00665142"/>
    <w:rsid w:val="006673C2"/>
    <w:rsid w:val="0067103E"/>
    <w:rsid w:val="00671705"/>
    <w:rsid w:val="00677C2A"/>
    <w:rsid w:val="00684E1A"/>
    <w:rsid w:val="0068501E"/>
    <w:rsid w:val="006930AF"/>
    <w:rsid w:val="0069586C"/>
    <w:rsid w:val="00697166"/>
    <w:rsid w:val="006B1E85"/>
    <w:rsid w:val="006B52FA"/>
    <w:rsid w:val="006C28E8"/>
    <w:rsid w:val="006C42F7"/>
    <w:rsid w:val="006D021B"/>
    <w:rsid w:val="006D0C49"/>
    <w:rsid w:val="006D29C0"/>
    <w:rsid w:val="006D34FA"/>
    <w:rsid w:val="006D67A0"/>
    <w:rsid w:val="006E6641"/>
    <w:rsid w:val="006E7DD7"/>
    <w:rsid w:val="006F2D76"/>
    <w:rsid w:val="006F3BB3"/>
    <w:rsid w:val="006F3E78"/>
    <w:rsid w:val="006F734B"/>
    <w:rsid w:val="00700A79"/>
    <w:rsid w:val="0070124C"/>
    <w:rsid w:val="007031DA"/>
    <w:rsid w:val="00705A00"/>
    <w:rsid w:val="00710B95"/>
    <w:rsid w:val="007137E1"/>
    <w:rsid w:val="00715409"/>
    <w:rsid w:val="00715A61"/>
    <w:rsid w:val="00721B44"/>
    <w:rsid w:val="007235AE"/>
    <w:rsid w:val="00723F0B"/>
    <w:rsid w:val="007268E8"/>
    <w:rsid w:val="00732BD3"/>
    <w:rsid w:val="007364EB"/>
    <w:rsid w:val="00740E5B"/>
    <w:rsid w:val="007460EA"/>
    <w:rsid w:val="00752305"/>
    <w:rsid w:val="00754E6D"/>
    <w:rsid w:val="007554EB"/>
    <w:rsid w:val="00755C40"/>
    <w:rsid w:val="0076150F"/>
    <w:rsid w:val="00765322"/>
    <w:rsid w:val="007664E0"/>
    <w:rsid w:val="0077232B"/>
    <w:rsid w:val="00777186"/>
    <w:rsid w:val="00785DC1"/>
    <w:rsid w:val="00786868"/>
    <w:rsid w:val="00796A07"/>
    <w:rsid w:val="007A05EA"/>
    <w:rsid w:val="007A182F"/>
    <w:rsid w:val="007A2B6A"/>
    <w:rsid w:val="007B084A"/>
    <w:rsid w:val="007B69ED"/>
    <w:rsid w:val="007C1B89"/>
    <w:rsid w:val="007C3E5E"/>
    <w:rsid w:val="007C6207"/>
    <w:rsid w:val="007C7CC2"/>
    <w:rsid w:val="007D00DF"/>
    <w:rsid w:val="007D4477"/>
    <w:rsid w:val="007D454D"/>
    <w:rsid w:val="007D71BA"/>
    <w:rsid w:val="007E5792"/>
    <w:rsid w:val="007E71DF"/>
    <w:rsid w:val="007E7770"/>
    <w:rsid w:val="007F0D5C"/>
    <w:rsid w:val="007F376A"/>
    <w:rsid w:val="007F3FE3"/>
    <w:rsid w:val="007F5253"/>
    <w:rsid w:val="007F7C23"/>
    <w:rsid w:val="008109FB"/>
    <w:rsid w:val="00812865"/>
    <w:rsid w:val="00813ECD"/>
    <w:rsid w:val="008152F3"/>
    <w:rsid w:val="008236B2"/>
    <w:rsid w:val="0082646A"/>
    <w:rsid w:val="00832059"/>
    <w:rsid w:val="0083591D"/>
    <w:rsid w:val="008453B8"/>
    <w:rsid w:val="008456A4"/>
    <w:rsid w:val="00847C2A"/>
    <w:rsid w:val="00850F90"/>
    <w:rsid w:val="00852C9B"/>
    <w:rsid w:val="008543EB"/>
    <w:rsid w:val="0086783A"/>
    <w:rsid w:val="00874A8B"/>
    <w:rsid w:val="008753CC"/>
    <w:rsid w:val="00881F3F"/>
    <w:rsid w:val="00886C49"/>
    <w:rsid w:val="008909A3"/>
    <w:rsid w:val="00890E1C"/>
    <w:rsid w:val="008A40F1"/>
    <w:rsid w:val="008C1DA7"/>
    <w:rsid w:val="008C41F9"/>
    <w:rsid w:val="008D5937"/>
    <w:rsid w:val="008D6BFB"/>
    <w:rsid w:val="008E3D9E"/>
    <w:rsid w:val="008F2BBD"/>
    <w:rsid w:val="008F4F7B"/>
    <w:rsid w:val="009005A6"/>
    <w:rsid w:val="009029C6"/>
    <w:rsid w:val="009073DD"/>
    <w:rsid w:val="00920A83"/>
    <w:rsid w:val="00922BDD"/>
    <w:rsid w:val="00924EA5"/>
    <w:rsid w:val="00927063"/>
    <w:rsid w:val="00931244"/>
    <w:rsid w:val="0093579F"/>
    <w:rsid w:val="00940211"/>
    <w:rsid w:val="00940BCF"/>
    <w:rsid w:val="00943FDF"/>
    <w:rsid w:val="0094657A"/>
    <w:rsid w:val="009475C4"/>
    <w:rsid w:val="00953F22"/>
    <w:rsid w:val="00970D1D"/>
    <w:rsid w:val="0097136B"/>
    <w:rsid w:val="00972C7A"/>
    <w:rsid w:val="00974082"/>
    <w:rsid w:val="009768FE"/>
    <w:rsid w:val="009815BE"/>
    <w:rsid w:val="0098374C"/>
    <w:rsid w:val="00984F42"/>
    <w:rsid w:val="0098512E"/>
    <w:rsid w:val="00985CB5"/>
    <w:rsid w:val="00987E16"/>
    <w:rsid w:val="009A2209"/>
    <w:rsid w:val="009A428A"/>
    <w:rsid w:val="009A4430"/>
    <w:rsid w:val="009A56D0"/>
    <w:rsid w:val="009A5B28"/>
    <w:rsid w:val="009B70C8"/>
    <w:rsid w:val="009D0741"/>
    <w:rsid w:val="009E17EA"/>
    <w:rsid w:val="009E4AB7"/>
    <w:rsid w:val="009F023E"/>
    <w:rsid w:val="00A073B6"/>
    <w:rsid w:val="00A20A69"/>
    <w:rsid w:val="00A33843"/>
    <w:rsid w:val="00A41E5F"/>
    <w:rsid w:val="00A43585"/>
    <w:rsid w:val="00A52122"/>
    <w:rsid w:val="00A74207"/>
    <w:rsid w:val="00A911AA"/>
    <w:rsid w:val="00A91C6A"/>
    <w:rsid w:val="00A96866"/>
    <w:rsid w:val="00AA0F71"/>
    <w:rsid w:val="00AA4344"/>
    <w:rsid w:val="00AB065D"/>
    <w:rsid w:val="00AB682A"/>
    <w:rsid w:val="00AB78B5"/>
    <w:rsid w:val="00AC0237"/>
    <w:rsid w:val="00AC512D"/>
    <w:rsid w:val="00AD2E1A"/>
    <w:rsid w:val="00AD5B42"/>
    <w:rsid w:val="00AD6FB5"/>
    <w:rsid w:val="00AE2275"/>
    <w:rsid w:val="00AE2890"/>
    <w:rsid w:val="00AF0343"/>
    <w:rsid w:val="00B021D9"/>
    <w:rsid w:val="00B1724D"/>
    <w:rsid w:val="00B22842"/>
    <w:rsid w:val="00B31B30"/>
    <w:rsid w:val="00B3372E"/>
    <w:rsid w:val="00B33AED"/>
    <w:rsid w:val="00B56F92"/>
    <w:rsid w:val="00B60E4D"/>
    <w:rsid w:val="00B62089"/>
    <w:rsid w:val="00B63601"/>
    <w:rsid w:val="00B671B3"/>
    <w:rsid w:val="00B77855"/>
    <w:rsid w:val="00B83D60"/>
    <w:rsid w:val="00B90468"/>
    <w:rsid w:val="00B90F32"/>
    <w:rsid w:val="00B92EEC"/>
    <w:rsid w:val="00BB171F"/>
    <w:rsid w:val="00BB4E35"/>
    <w:rsid w:val="00BC2D32"/>
    <w:rsid w:val="00BC5F91"/>
    <w:rsid w:val="00BC7C1E"/>
    <w:rsid w:val="00BD37F2"/>
    <w:rsid w:val="00BE0B12"/>
    <w:rsid w:val="00BE649F"/>
    <w:rsid w:val="00BF47C7"/>
    <w:rsid w:val="00C03F63"/>
    <w:rsid w:val="00C03F87"/>
    <w:rsid w:val="00C07711"/>
    <w:rsid w:val="00C11D37"/>
    <w:rsid w:val="00C165BF"/>
    <w:rsid w:val="00C251BD"/>
    <w:rsid w:val="00C26E0E"/>
    <w:rsid w:val="00C305C6"/>
    <w:rsid w:val="00C308BA"/>
    <w:rsid w:val="00C33DCD"/>
    <w:rsid w:val="00C34DE9"/>
    <w:rsid w:val="00C371FC"/>
    <w:rsid w:val="00C41942"/>
    <w:rsid w:val="00C46453"/>
    <w:rsid w:val="00C51EB8"/>
    <w:rsid w:val="00C538EE"/>
    <w:rsid w:val="00C64DE4"/>
    <w:rsid w:val="00C652E0"/>
    <w:rsid w:val="00C71B60"/>
    <w:rsid w:val="00C72D8B"/>
    <w:rsid w:val="00C733B3"/>
    <w:rsid w:val="00C804F8"/>
    <w:rsid w:val="00C83808"/>
    <w:rsid w:val="00C84620"/>
    <w:rsid w:val="00C9125D"/>
    <w:rsid w:val="00C913AB"/>
    <w:rsid w:val="00C94BD9"/>
    <w:rsid w:val="00CA1001"/>
    <w:rsid w:val="00CA62DF"/>
    <w:rsid w:val="00CB1C4C"/>
    <w:rsid w:val="00CB4366"/>
    <w:rsid w:val="00CB6A79"/>
    <w:rsid w:val="00CC1741"/>
    <w:rsid w:val="00CD7B65"/>
    <w:rsid w:val="00CE645E"/>
    <w:rsid w:val="00CF11F9"/>
    <w:rsid w:val="00CF53D6"/>
    <w:rsid w:val="00D01118"/>
    <w:rsid w:val="00D0130A"/>
    <w:rsid w:val="00D12F89"/>
    <w:rsid w:val="00D1421A"/>
    <w:rsid w:val="00D26227"/>
    <w:rsid w:val="00D264A4"/>
    <w:rsid w:val="00D27610"/>
    <w:rsid w:val="00D27C89"/>
    <w:rsid w:val="00D35BB5"/>
    <w:rsid w:val="00D540A8"/>
    <w:rsid w:val="00D66EFD"/>
    <w:rsid w:val="00D7567E"/>
    <w:rsid w:val="00D9152E"/>
    <w:rsid w:val="00D928BB"/>
    <w:rsid w:val="00D95B96"/>
    <w:rsid w:val="00DA24A4"/>
    <w:rsid w:val="00DA4B93"/>
    <w:rsid w:val="00DB2AB2"/>
    <w:rsid w:val="00DB4384"/>
    <w:rsid w:val="00DC1514"/>
    <w:rsid w:val="00DC4639"/>
    <w:rsid w:val="00DC71B3"/>
    <w:rsid w:val="00DD1F62"/>
    <w:rsid w:val="00DD6415"/>
    <w:rsid w:val="00DE277D"/>
    <w:rsid w:val="00DE3746"/>
    <w:rsid w:val="00DE3A96"/>
    <w:rsid w:val="00DF1CA0"/>
    <w:rsid w:val="00E02209"/>
    <w:rsid w:val="00E153D6"/>
    <w:rsid w:val="00E1602E"/>
    <w:rsid w:val="00E16769"/>
    <w:rsid w:val="00E27A0F"/>
    <w:rsid w:val="00E27D4F"/>
    <w:rsid w:val="00E41ADA"/>
    <w:rsid w:val="00E42B6B"/>
    <w:rsid w:val="00E43FF8"/>
    <w:rsid w:val="00E54586"/>
    <w:rsid w:val="00E60732"/>
    <w:rsid w:val="00E678F7"/>
    <w:rsid w:val="00E817E2"/>
    <w:rsid w:val="00E82769"/>
    <w:rsid w:val="00EA266D"/>
    <w:rsid w:val="00EA3982"/>
    <w:rsid w:val="00EB1DCC"/>
    <w:rsid w:val="00EB238B"/>
    <w:rsid w:val="00EC1362"/>
    <w:rsid w:val="00EC2A9F"/>
    <w:rsid w:val="00EC396A"/>
    <w:rsid w:val="00ED2954"/>
    <w:rsid w:val="00ED5BA3"/>
    <w:rsid w:val="00EE1EF2"/>
    <w:rsid w:val="00EF2C96"/>
    <w:rsid w:val="00F004A9"/>
    <w:rsid w:val="00F01A47"/>
    <w:rsid w:val="00F03990"/>
    <w:rsid w:val="00F074BA"/>
    <w:rsid w:val="00F07BD2"/>
    <w:rsid w:val="00F105E0"/>
    <w:rsid w:val="00F125DB"/>
    <w:rsid w:val="00F144A0"/>
    <w:rsid w:val="00F21620"/>
    <w:rsid w:val="00F21AD8"/>
    <w:rsid w:val="00F27A2E"/>
    <w:rsid w:val="00F316A4"/>
    <w:rsid w:val="00F33DCE"/>
    <w:rsid w:val="00F743D3"/>
    <w:rsid w:val="00F74A74"/>
    <w:rsid w:val="00F74ACC"/>
    <w:rsid w:val="00F849DA"/>
    <w:rsid w:val="00F8599A"/>
    <w:rsid w:val="00F938C9"/>
    <w:rsid w:val="00F976B9"/>
    <w:rsid w:val="00FA00C6"/>
    <w:rsid w:val="00FA00D3"/>
    <w:rsid w:val="00FA2C9C"/>
    <w:rsid w:val="00FB186F"/>
    <w:rsid w:val="00FB5FEB"/>
    <w:rsid w:val="00FB6C0C"/>
    <w:rsid w:val="00FC38FF"/>
    <w:rsid w:val="00FC678E"/>
    <w:rsid w:val="00FD1F0A"/>
    <w:rsid w:val="00FD3C7B"/>
    <w:rsid w:val="00FE2691"/>
    <w:rsid w:val="00FE466E"/>
    <w:rsid w:val="00FE7C55"/>
    <w:rsid w:val="00FF0A5E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1400"/>
  <w15:docId w15:val="{7CD4226B-9305-4611-A624-B2F89A4C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4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rschrift11">
    <w:name w:val="Überschrift 11"/>
    <w:basedOn w:val="Default"/>
    <w:next w:val="Default"/>
    <w:uiPriority w:val="99"/>
    <w:rsid w:val="008543EB"/>
    <w:rPr>
      <w:color w:val="auto"/>
    </w:rPr>
  </w:style>
  <w:style w:type="paragraph" w:customStyle="1" w:styleId="berschrift21">
    <w:name w:val="Überschrift 21"/>
    <w:basedOn w:val="Default"/>
    <w:next w:val="Default"/>
    <w:uiPriority w:val="99"/>
    <w:rsid w:val="008543EB"/>
    <w:rPr>
      <w:color w:val="auto"/>
    </w:rPr>
  </w:style>
  <w:style w:type="paragraph" w:customStyle="1" w:styleId="Kommentartext1">
    <w:name w:val="Kommentartext1"/>
    <w:basedOn w:val="Default"/>
    <w:next w:val="Default"/>
    <w:uiPriority w:val="99"/>
    <w:rsid w:val="008543EB"/>
    <w:rPr>
      <w:color w:val="auto"/>
    </w:rPr>
  </w:style>
  <w:style w:type="paragraph" w:customStyle="1" w:styleId="Standard1">
    <w:name w:val="Standard1"/>
    <w:basedOn w:val="Default"/>
    <w:next w:val="Default"/>
    <w:uiPriority w:val="99"/>
    <w:rsid w:val="008543EB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5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9A"/>
    <w:rPr>
      <w:sz w:val="20"/>
      <w:szCs w:val="20"/>
    </w:rPr>
  </w:style>
  <w:style w:type="table" w:styleId="TableGrid">
    <w:name w:val="Table Grid"/>
    <w:basedOn w:val="TableNormal"/>
    <w:uiPriority w:val="39"/>
    <w:rsid w:val="00F2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749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3029E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val="en-GB" w:eastAsia="de-DE"/>
    </w:rPr>
  </w:style>
  <w:style w:type="character" w:customStyle="1" w:styleId="HeaderChar">
    <w:name w:val="Header Char"/>
    <w:basedOn w:val="DefaultParagraphFont"/>
    <w:link w:val="Header"/>
    <w:rsid w:val="003029E9"/>
    <w:rPr>
      <w:rFonts w:ascii="Arial" w:eastAsia="Times New Roman" w:hAnsi="Arial" w:cs="Arial"/>
      <w:lang w:val="en-GB" w:eastAsia="de-DE"/>
    </w:rPr>
  </w:style>
  <w:style w:type="paragraph" w:styleId="Revision">
    <w:name w:val="Revision"/>
    <w:hidden/>
    <w:uiPriority w:val="99"/>
    <w:semiHidden/>
    <w:rsid w:val="00DE3A9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B3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4B"/>
  </w:style>
  <w:style w:type="character" w:styleId="Hyperlink">
    <w:name w:val="Hyperlink"/>
    <w:rsid w:val="005B30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5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7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1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2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6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2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6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7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56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ifa.gov.it/content/segnalazioni-reazioni-avver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0960-9d18-4ea6-b5e8-8a0c5918f986" xsi:nil="true"/>
    <lcf76f155ced4ddcb4097134ff3c332f xmlns="0534b72e-978d-46a8-80ce-eabd691cac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13B454724EA4CADDC1556E06B2C7F" ma:contentTypeVersion="15" ma:contentTypeDescription="Create a new document." ma:contentTypeScope="" ma:versionID="fff5fec4f3f1aee9bde9451b1c38c9e5">
  <xsd:schema xmlns:xsd="http://www.w3.org/2001/XMLSchema" xmlns:xs="http://www.w3.org/2001/XMLSchema" xmlns:p="http://schemas.microsoft.com/office/2006/metadata/properties" xmlns:ns2="0534b72e-978d-46a8-80ce-eabd691cacc4" xmlns:ns3="24a70960-9d18-4ea6-b5e8-8a0c5918f986" targetNamespace="http://schemas.microsoft.com/office/2006/metadata/properties" ma:root="true" ma:fieldsID="ac6e1f884c96edd672f24045994bde96" ns2:_="" ns3:_="">
    <xsd:import namespace="0534b72e-978d-46a8-80ce-eabd691cacc4"/>
    <xsd:import namespace="24a70960-9d18-4ea6-b5e8-8a0c5918f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4b72e-978d-46a8-80ce-eabd691ca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92ec7a-3295-4255-bcf5-bd02dae10c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0960-9d18-4ea6-b5e8-8a0c5918f98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baa00d1-3435-4ba5-8e9a-4aa870318879}" ma:internalName="TaxCatchAll" ma:showField="CatchAllData" ma:web="24a70960-9d18-4ea6-b5e8-8a0c5918f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F95F7-9747-4AF6-B5C5-5300E3384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365A0-B4E7-48DF-B466-D60338CEEA31}">
  <ds:schemaRefs>
    <ds:schemaRef ds:uri="http://schemas.microsoft.com/office/2006/metadata/properties"/>
    <ds:schemaRef ds:uri="http://schemas.microsoft.com/office/infopath/2007/PartnerControls"/>
    <ds:schemaRef ds:uri="24a70960-9d18-4ea6-b5e8-8a0c5918f986"/>
    <ds:schemaRef ds:uri="0534b72e-978d-46a8-80ce-eabd691cacc4"/>
  </ds:schemaRefs>
</ds:datastoreItem>
</file>

<file path=customXml/itemProps3.xml><?xml version="1.0" encoding="utf-8"?>
<ds:datastoreItem xmlns:ds="http://schemas.openxmlformats.org/officeDocument/2006/customXml" ds:itemID="{E24FB3F6-F9B5-4335-8D5C-764F90AC1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4b72e-978d-46a8-80ce-eabd691cacc4"/>
    <ds:schemaRef ds:uri="24a70960-9d18-4ea6-b5e8-8a0c5918f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6226</Words>
  <Characters>35492</Characters>
  <Application>Microsoft Office Word</Application>
  <DocSecurity>0</DocSecurity>
  <Lines>295</Lines>
  <Paragraphs>83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Bravo</dc:creator>
  <cp:keywords/>
  <dc:description/>
  <cp:lastModifiedBy>Elena MARZANO</cp:lastModifiedBy>
  <cp:revision>29</cp:revision>
  <cp:lastPrinted>2022-02-04T12:26:00Z</cp:lastPrinted>
  <dcterms:created xsi:type="dcterms:W3CDTF">2022-10-10T14:25:00Z</dcterms:created>
  <dcterms:modified xsi:type="dcterms:W3CDTF">2024-08-23T07:46:00Z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0x010100BD213B454724EA4CADDC1556E06B2C7F</vt:lpwstr>
  </property>
  <property fmtid="{D5CDD505-2E9C-101B-9397-08002B2CF9AE}" pid="3" name="Order">
    <vt:r8>65212400</vt:r8>
  </property>
  <property fmtid="{D5CDD505-2E9C-101B-9397-08002B2CF9AE}" pid="4" name="MediaServiceImageTags">
    <vt:lpwstr/>
  </property>
</Properties>
</file>